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contextualSpacing/>
        <w:jc w:val="center"/>
        <w:rPr>
          <w:rFonts w:ascii="Calibri" w:hAnsi="Calibri"/>
          <w:color w:val="000000"/>
          <w:sz w:val="24"/>
          <w:szCs w:val="24"/>
        </w:rPr>
      </w:pPr>
      <w:r>
        <w:rPr>
          <w:rFonts w:cs="Arial" w:ascii="Calibri" w:hAnsi="Calibri"/>
          <w:b/>
          <w:bCs/>
          <w:color w:val="000000"/>
          <w:sz w:val="24"/>
          <w:szCs w:val="24"/>
        </w:rPr>
        <w:t xml:space="preserve"> </w:t>
      </w:r>
      <w:r>
        <w:rPr>
          <w:rFonts w:cs="Arial" w:ascii="Calibri" w:hAnsi="Calibri"/>
          <w:b/>
          <w:bCs/>
          <w:color w:val="000000"/>
          <w:sz w:val="24"/>
          <w:szCs w:val="24"/>
        </w:rPr>
        <w:t>TERMO DE REFERÊNCIA</w:t>
      </w:r>
    </w:p>
    <w:p>
      <w:pPr>
        <w:pStyle w:val="Normal"/>
        <w:spacing w:lineRule="auto" w:line="240" w:before="0" w:after="0"/>
        <w:contextualSpacing/>
        <w:jc w:val="center"/>
        <w:rPr>
          <w:rFonts w:ascii="Calibri" w:hAnsi="Calibri"/>
          <w:color w:val="000000"/>
          <w:sz w:val="24"/>
          <w:szCs w:val="24"/>
        </w:rPr>
      </w:pPr>
      <w:r>
        <w:rPr>
          <w:rFonts w:cs="Arial" w:ascii="Calibri" w:hAnsi="Calibri"/>
          <w:b/>
          <w:bCs/>
          <w:color w:val="000000"/>
          <w:sz w:val="24"/>
          <w:szCs w:val="24"/>
        </w:rPr>
        <w:t xml:space="preserve">PREGÃO ELETRÔNICO </w:t>
      </w:r>
    </w:p>
    <w:p>
      <w:pPr>
        <w:pStyle w:val="Normal"/>
        <w:spacing w:lineRule="auto" w:line="240" w:before="0" w:after="0"/>
        <w:contextualSpacing/>
        <w:jc w:val="center"/>
        <w:rPr>
          <w:rFonts w:ascii="Calibri" w:hAnsi="Calibri"/>
          <w:color w:val="000000"/>
          <w:sz w:val="24"/>
          <w:szCs w:val="24"/>
        </w:rPr>
      </w:pPr>
      <w:r>
        <w:rPr>
          <w:rFonts w:cs="Arial" w:ascii="Calibri" w:hAnsi="Calibri"/>
          <w:b/>
          <w:bCs/>
          <w:iCs/>
          <w:color w:val="000000"/>
          <w:sz w:val="24"/>
          <w:szCs w:val="24"/>
        </w:rPr>
        <w:t>(COMPRAS)</w:t>
      </w:r>
    </w:p>
    <w:p>
      <w:pPr>
        <w:pStyle w:val="Normal"/>
        <w:spacing w:lineRule="auto" w:line="240" w:before="0" w:after="0"/>
        <w:contextualSpacing/>
        <w:jc w:val="center"/>
        <w:rPr>
          <w:rFonts w:ascii="Calibri" w:hAnsi="Calibri"/>
          <w:color w:val="000000"/>
          <w:sz w:val="24"/>
          <w:szCs w:val="24"/>
        </w:rPr>
      </w:pPr>
      <w:r>
        <w:rPr>
          <w:rFonts w:ascii="Calibri" w:hAnsi="Calibri"/>
          <w:color w:val="000000"/>
          <w:sz w:val="24"/>
          <w:szCs w:val="24"/>
        </w:rPr>
      </w:r>
    </w:p>
    <w:p>
      <w:pPr>
        <w:pStyle w:val="Normal"/>
        <w:spacing w:lineRule="auto" w:line="240" w:before="0" w:after="0"/>
        <w:contextualSpacing/>
        <w:jc w:val="center"/>
        <w:rPr>
          <w:rFonts w:ascii="Calibri" w:hAnsi="Calibri"/>
          <w:color w:val="000000"/>
          <w:sz w:val="24"/>
          <w:szCs w:val="24"/>
        </w:rPr>
      </w:pPr>
      <w:r>
        <w:rPr>
          <w:rFonts w:cs="Arial" w:ascii="Calibri" w:hAnsi="Calibri"/>
          <w:b/>
          <w:bCs/>
          <w:color w:val="000000"/>
          <w:sz w:val="24"/>
          <w:szCs w:val="24"/>
        </w:rPr>
        <w:t>ESCOLA DE APRENDIZES-MARINHEIROS DO CERÁ</w:t>
      </w:r>
    </w:p>
    <w:p>
      <w:pPr>
        <w:pStyle w:val="Normal"/>
        <w:spacing w:lineRule="auto" w:line="240" w:before="0" w:after="0"/>
        <w:contextualSpacing/>
        <w:jc w:val="center"/>
        <w:rPr>
          <w:rFonts w:ascii="Calibri" w:hAnsi="Calibri"/>
          <w:color w:val="000000"/>
          <w:sz w:val="24"/>
          <w:szCs w:val="24"/>
        </w:rPr>
      </w:pPr>
      <w:r>
        <w:rPr>
          <w:rFonts w:cs="Arial" w:ascii="Calibri" w:hAnsi="Calibri"/>
          <w:b/>
          <w:bCs/>
          <w:color w:val="000000"/>
          <w:sz w:val="24"/>
          <w:szCs w:val="24"/>
        </w:rPr>
        <w:t>PREGÃO Nº 15/2023</w:t>
      </w:r>
    </w:p>
    <w:p>
      <w:pPr>
        <w:pStyle w:val="Normal"/>
        <w:spacing w:lineRule="auto" w:line="240" w:before="0" w:after="0"/>
        <w:contextualSpacing/>
        <w:jc w:val="center"/>
        <w:rPr/>
      </w:pPr>
      <w:r>
        <w:rPr>
          <w:rFonts w:cs="Arial" w:ascii="Calibri" w:hAnsi="Calibri"/>
          <w:b/>
          <w:bCs/>
          <w:color w:val="000000"/>
          <w:sz w:val="24"/>
          <w:szCs w:val="24"/>
        </w:rPr>
        <w:t xml:space="preserve">(Processo Administrativo n° </w:t>
      </w:r>
      <w:r>
        <w:rPr>
          <w:rStyle w:val="Nfaseforte"/>
          <w:rFonts w:cs="Arial" w:ascii="Calibri" w:hAnsi="Calibri"/>
          <w:color w:val="000000"/>
          <w:sz w:val="24"/>
          <w:szCs w:val="24"/>
        </w:rPr>
        <w:t>63116.005056/2023-78</w:t>
      </w:r>
      <w:r>
        <w:rPr>
          <w:rFonts w:cs="Arial" w:ascii="Calibri" w:hAnsi="Calibri"/>
          <w:b/>
          <w:bCs/>
          <w:color w:val="000000"/>
          <w:sz w:val="24"/>
          <w:szCs w:val="24"/>
        </w:rPr>
        <w:t>)</w:t>
      </w:r>
    </w:p>
    <w:p>
      <w:pPr>
        <w:pStyle w:val="Nivel1"/>
        <w:spacing w:lineRule="auto" w:line="240" w:before="0" w:after="0"/>
        <w:contextualSpacing/>
        <w:rPr>
          <w:rFonts w:ascii="Calibri" w:hAnsi="Calibri"/>
          <w:color w:val="000000"/>
          <w:sz w:val="24"/>
          <w:szCs w:val="24"/>
        </w:rPr>
      </w:pPr>
      <w:r>
        <w:rPr>
          <w:rFonts w:ascii="Calibri" w:hAnsi="Calibri"/>
          <w:color w:val="000000"/>
          <w:sz w:val="24"/>
          <w:szCs w:val="24"/>
        </w:rPr>
      </w:r>
    </w:p>
    <w:p>
      <w:pPr>
        <w:pStyle w:val="ListParagraph"/>
        <w:widowControl/>
        <w:numPr>
          <w:ilvl w:val="0"/>
          <w:numId w:val="1"/>
        </w:numPr>
        <w:tabs>
          <w:tab w:val="clear" w:pos="708"/>
          <w:tab w:val="left" w:pos="345" w:leader="none"/>
        </w:tabs>
        <w:suppressAutoHyphens w:val="true"/>
        <w:bidi w:val="0"/>
        <w:spacing w:lineRule="auto" w:line="240" w:before="0" w:after="0"/>
        <w:ind w:left="0" w:right="0" w:hanging="0"/>
        <w:contextualSpacing/>
        <w:jc w:val="both"/>
        <w:rPr>
          <w:rFonts w:ascii="Calibri" w:hAnsi="Calibri"/>
          <w:b w:val="false"/>
          <w:b w:val="false"/>
          <w:bCs w:val="false"/>
          <w:i w:val="false"/>
          <w:i w:val="false"/>
          <w:iCs w:val="false"/>
          <w:color w:val="000000"/>
          <w:sz w:val="24"/>
          <w:szCs w:val="24"/>
        </w:rPr>
      </w:pPr>
      <w:r>
        <w:rPr>
          <w:rFonts w:cs="Arial" w:ascii="Calibri" w:hAnsi="Calibri"/>
          <w:b w:val="false"/>
          <w:bCs w:val="false"/>
          <w:i w:val="false"/>
          <w:iCs w:val="false"/>
          <w:color w:val="000000"/>
          <w:sz w:val="24"/>
          <w:szCs w:val="24"/>
        </w:rPr>
        <w:t>DO OBJETO</w:t>
      </w:r>
    </w:p>
    <w:p>
      <w:pPr>
        <w:pStyle w:val="ListParagraph"/>
        <w:numPr>
          <w:ilvl w:val="1"/>
          <w:numId w:val="1"/>
        </w:numPr>
        <w:tabs>
          <w:tab w:val="clear" w:pos="708"/>
          <w:tab w:val="left" w:pos="900" w:leader="none"/>
        </w:tabs>
        <w:spacing w:lineRule="auto" w:line="240" w:before="0" w:after="0"/>
        <w:ind w:left="425" w:hanging="0"/>
        <w:contextualSpacing/>
        <w:jc w:val="both"/>
        <w:rPr>
          <w:rFonts w:ascii="Calibri" w:hAnsi="Calibri"/>
          <w:b w:val="false"/>
          <w:b w:val="false"/>
          <w:bCs w:val="false"/>
          <w:i w:val="false"/>
          <w:i w:val="false"/>
          <w:iCs w:val="false"/>
          <w:color w:val="000000"/>
          <w:sz w:val="24"/>
          <w:szCs w:val="24"/>
        </w:rPr>
      </w:pPr>
      <w:r>
        <w:rPr>
          <w:rFonts w:eastAsia="Arial" w:cs="Arial" w:ascii="Calibri" w:hAnsi="Calibri"/>
          <w:b w:val="false"/>
          <w:bCs w:val="false"/>
          <w:i w:val="false"/>
          <w:iCs w:val="false"/>
          <w:color w:val="000000"/>
          <w:sz w:val="24"/>
          <w:szCs w:val="24"/>
          <w:highlight w:val="white"/>
        </w:rPr>
        <w:t>Aquisição de medicamentos especiais para assistência em saúde, conforme condições, quantidades e exigências estabelecidas neste instrumento:</w:t>
      </w:r>
    </w:p>
    <w:tbl>
      <w:tblPr>
        <w:tblW w:w="10410" w:type="dxa"/>
        <w:jc w:val="left"/>
        <w:tblInd w:w="-759" w:type="dxa"/>
        <w:tblLayout w:type="fixed"/>
        <w:tblCellMar>
          <w:top w:w="55" w:type="dxa"/>
          <w:left w:w="44" w:type="dxa"/>
          <w:bottom w:w="55" w:type="dxa"/>
          <w:right w:w="55" w:type="dxa"/>
        </w:tblCellMar>
        <w:tblLook w:firstRow="1" w:noVBand="1" w:lastRow="0" w:firstColumn="1" w:lastColumn="0" w:noHBand="0" w:val="04a0"/>
      </w:tblPr>
      <w:tblGrid>
        <w:gridCol w:w="623"/>
        <w:gridCol w:w="3142"/>
        <w:gridCol w:w="1621"/>
        <w:gridCol w:w="1245"/>
        <w:gridCol w:w="898"/>
        <w:gridCol w:w="1605"/>
        <w:gridCol w:w="1275"/>
      </w:tblGrid>
      <w:tr>
        <w:trPr>
          <w:trHeight w:val="1129" w:hRule="atLeast"/>
        </w:trPr>
        <w:tc>
          <w:tcPr>
            <w:tcW w:w="623" w:type="dxa"/>
            <w:tcBorders>
              <w:top w:val="single" w:sz="8" w:space="0" w:color="00000A"/>
              <w:left w:val="single" w:sz="8" w:space="0" w:color="00000A"/>
              <w:bottom w:val="single" w:sz="8" w:space="0" w:color="00000A"/>
            </w:tcBorders>
            <w:shd w:color="auto" w:fill="auto" w:val="clear"/>
            <w:vAlign w:val="center"/>
          </w:tcPr>
          <w:p>
            <w:pPr>
              <w:pStyle w:val="Normal"/>
              <w:widowControl w:val="false"/>
              <w:snapToGrid w:val="false"/>
              <w:spacing w:lineRule="auto" w:line="240" w:before="0" w:after="0"/>
              <w:contextualSpacing/>
              <w:rPr>
                <w:rFonts w:ascii="Calibri" w:hAnsi="Calibri" w:cs="Calibri"/>
                <w:b/>
                <w:b/>
                <w:bCs/>
                <w:color w:val="000000"/>
                <w:sz w:val="24"/>
                <w:szCs w:val="24"/>
              </w:rPr>
            </w:pPr>
            <w:r>
              <w:rPr>
                <w:rFonts w:cs="Calibri" w:ascii="Calibri" w:hAnsi="Calibri" w:asciiTheme="minorHAnsi" w:cstheme="minorHAnsi" w:hAnsiTheme="minorHAnsi"/>
                <w:b/>
                <w:bCs/>
                <w:color w:val="000000"/>
                <w:sz w:val="24"/>
                <w:szCs w:val="24"/>
              </w:rPr>
              <w:t>ITEM</w:t>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napToGrid w:val="false"/>
              <w:spacing w:lineRule="auto" w:line="240" w:before="0" w:after="0"/>
              <w:contextualSpacing/>
              <w:jc w:val="center"/>
              <w:rPr>
                <w:rFonts w:ascii="Calibri" w:hAnsi="Calibri" w:cs="Calibri"/>
                <w:b/>
                <w:b/>
                <w:bCs/>
                <w:color w:val="000000"/>
                <w:sz w:val="24"/>
                <w:szCs w:val="24"/>
              </w:rPr>
            </w:pPr>
            <w:r>
              <w:rPr>
                <w:rFonts w:cs="Calibri" w:ascii="Calibri" w:hAnsi="Calibri" w:asciiTheme="minorHAnsi" w:cstheme="minorHAnsi" w:hAnsiTheme="minorHAnsi"/>
                <w:b/>
                <w:bCs/>
                <w:color w:val="000000"/>
                <w:sz w:val="24"/>
                <w:szCs w:val="24"/>
              </w:rPr>
              <w:t>DESCRIÇÃO/</w:t>
            </w:r>
          </w:p>
          <w:p>
            <w:pPr>
              <w:pStyle w:val="Normal"/>
              <w:widowControl w:val="false"/>
              <w:snapToGrid w:val="false"/>
              <w:spacing w:lineRule="auto" w:line="240" w:before="0" w:after="0"/>
              <w:contextualSpacing/>
              <w:jc w:val="center"/>
              <w:rPr>
                <w:rFonts w:ascii="Calibri" w:hAnsi="Calibri" w:cs="Calibri"/>
                <w:b/>
                <w:b/>
                <w:bCs/>
                <w:color w:val="000000"/>
                <w:sz w:val="24"/>
                <w:szCs w:val="24"/>
              </w:rPr>
            </w:pPr>
            <w:r>
              <w:rPr>
                <w:rFonts w:cs="Calibri" w:ascii="Calibri" w:hAnsi="Calibri" w:asciiTheme="minorHAnsi" w:cstheme="minorHAnsi" w:hAnsiTheme="minorHAnsi"/>
                <w:b/>
                <w:bCs/>
                <w:color w:val="000000"/>
                <w:sz w:val="24"/>
                <w:szCs w:val="24"/>
              </w:rPr>
              <w:t>ESPECIFICAÇÃO</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napToGrid w:val="false"/>
              <w:spacing w:lineRule="auto" w:line="240" w:before="0" w:after="0"/>
              <w:contextualSpacing/>
              <w:jc w:val="center"/>
              <w:rPr>
                <w:rFonts w:ascii="Calibri" w:hAnsi="Calibri" w:cs="Calibri"/>
                <w:b/>
                <w:b/>
                <w:bCs/>
                <w:color w:val="000000"/>
                <w:sz w:val="24"/>
                <w:szCs w:val="24"/>
              </w:rPr>
            </w:pPr>
            <w:r>
              <w:rPr>
                <w:rFonts w:cs="Calibri" w:ascii="Calibri" w:hAnsi="Calibri" w:asciiTheme="minorHAnsi" w:cstheme="minorHAnsi" w:hAnsiTheme="minorHAnsi"/>
                <w:b/>
                <w:bCs/>
                <w:color w:val="000000"/>
                <w:sz w:val="24"/>
                <w:szCs w:val="24"/>
              </w:rPr>
              <w:t>UF</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napToGrid w:val="false"/>
              <w:spacing w:lineRule="auto" w:line="240" w:before="0" w:after="0"/>
              <w:contextualSpacing/>
              <w:jc w:val="center"/>
              <w:rPr>
                <w:rFonts w:ascii="Calibri" w:hAnsi="Calibri" w:cs="Calibri"/>
                <w:b/>
                <w:b/>
                <w:bCs/>
                <w:color w:val="000000"/>
                <w:sz w:val="24"/>
                <w:szCs w:val="24"/>
              </w:rPr>
            </w:pPr>
            <w:r>
              <w:rPr>
                <w:rFonts w:cs="Calibri" w:ascii="Calibri" w:hAnsi="Calibri" w:asciiTheme="minorHAnsi" w:cstheme="minorHAnsi" w:hAnsiTheme="minorHAnsi"/>
                <w:b/>
                <w:bCs/>
                <w:color w:val="000000"/>
                <w:sz w:val="24"/>
                <w:szCs w:val="24"/>
              </w:rPr>
              <w:t>CATMAT</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napToGrid w:val="false"/>
              <w:spacing w:lineRule="auto" w:line="240" w:before="0" w:after="0"/>
              <w:contextualSpacing/>
              <w:jc w:val="center"/>
              <w:rPr>
                <w:rFonts w:ascii="Calibri" w:hAnsi="Calibri" w:cs="Calibri"/>
                <w:b/>
                <w:b/>
                <w:bCs/>
                <w:color w:val="000000"/>
                <w:sz w:val="24"/>
                <w:szCs w:val="24"/>
              </w:rPr>
            </w:pPr>
            <w:r>
              <w:rPr>
                <w:rFonts w:cs="Calibri" w:ascii="Calibri" w:hAnsi="Calibri" w:asciiTheme="minorHAnsi" w:cstheme="minorHAnsi" w:hAnsiTheme="minorHAnsi"/>
                <w:b/>
                <w:bCs/>
                <w:color w:val="000000"/>
                <w:sz w:val="24"/>
                <w:szCs w:val="24"/>
              </w:rPr>
              <w:t>QTD</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napToGrid w:val="false"/>
              <w:spacing w:lineRule="auto" w:line="240" w:before="0" w:after="0"/>
              <w:contextualSpacing/>
              <w:jc w:val="center"/>
              <w:rPr>
                <w:rFonts w:ascii="Calibri" w:hAnsi="Calibri" w:cs="Calibri"/>
                <w:b/>
                <w:b/>
                <w:bCs/>
                <w:color w:val="000000"/>
                <w:sz w:val="24"/>
                <w:szCs w:val="24"/>
              </w:rPr>
            </w:pPr>
            <w:r>
              <w:rPr>
                <w:rFonts w:cs="Calibri" w:ascii="Calibri" w:hAnsi="Calibri" w:asciiTheme="minorHAnsi" w:cstheme="minorHAnsi" w:hAnsiTheme="minorHAnsi"/>
                <w:b/>
                <w:bCs/>
                <w:color w:val="000000"/>
                <w:sz w:val="24"/>
                <w:szCs w:val="24"/>
              </w:rPr>
              <w:t>VALOR DE REFERÊNCIA (Total) R$</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napToGrid w:val="false"/>
              <w:spacing w:lineRule="auto" w:line="240" w:before="0" w:after="0"/>
              <w:contextualSpacing/>
              <w:jc w:val="center"/>
              <w:rPr>
                <w:rFonts w:ascii="Calibri" w:hAnsi="Calibri" w:cs="Calibri"/>
                <w:b/>
                <w:b/>
                <w:bCs/>
                <w:color w:val="000000"/>
                <w:sz w:val="24"/>
                <w:szCs w:val="24"/>
              </w:rPr>
            </w:pPr>
            <w:r>
              <w:rPr>
                <w:rFonts w:cs="Calibri" w:ascii="Calibri" w:hAnsi="Calibri" w:asciiTheme="minorHAnsi" w:cstheme="minorHAnsi" w:hAnsiTheme="minorHAnsi"/>
                <w:b/>
                <w:bCs/>
                <w:color w:val="000000"/>
                <w:sz w:val="24"/>
                <w:szCs w:val="24"/>
              </w:rPr>
              <w:t>VALOR UNITÁRIO R$</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ABIRATERONA 250MG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412776</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2.880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37.958,40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13,18</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ACIDO URSODESOXICÓLICO 150MG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269460</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720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1.048,80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1,46</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ACIDO URSODESOXICÓLICO 300MG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309040</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900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2.325,00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2,58</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ACITRETINA 10MG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308719</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900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2.979,00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3,31</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ACITRETINA 25MG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308718</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900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6.867,00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7,63</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ADALIMUMABE 40MG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290058</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17.673,72</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490,94</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AMILASE+LIPASE+PROTEASE PANCREATICAS 20.00 + 4.000 + 25.000 UI</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300745</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720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1.430,40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1,99</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ANAGRELIDA 0,5MG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277649</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720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19.228,80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26,71</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ALFAPOETINA  40.000UI FA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 AMPOLA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tabs>
                <w:tab w:val="clear" w:pos="708"/>
                <w:tab w:val="left" w:pos="522" w:leader="none"/>
              </w:tabs>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449016</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23.967,48</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665,76</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ALFAPOETINA  10.000UI FA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 AMPOLA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449015</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2.299,00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38,32</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ALFAPOETINA 4.000UI FA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 AMPOLA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449014</w:t>
            </w:r>
          </w:p>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96</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3.329,28</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34,68</w:t>
            </w:r>
          </w:p>
        </w:tc>
      </w:tr>
      <w:tr>
        <w:trPr>
          <w:trHeight w:val="603" w:hRule="atLeast"/>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APALUTAMIDA 60mg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477206</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720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65.280,00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90,67</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overflowPunct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APIXABANA 2,5MG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429847</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720</w:t>
            </w:r>
          </w:p>
        </w:tc>
        <w:tc>
          <w:tcPr>
            <w:tcW w:w="1605"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2.188,80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3,04</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ARIPIPRAZOL 30MG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286278</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900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2.808,00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3,12</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ARIPIPRAZOL 10MG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364780</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900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2.220,00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2,47</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BICALUTAMIDA 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271761</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900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21.873,00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24,30</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CABERGOLINA 0,5MG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268084</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1.344,00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3,73</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CANABIDIOL 200mg/ml solução oral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603480</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180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399.046,80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2.216,93</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CAPECITABINA 500MG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268403</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2.880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8.572,80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2,98</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CERTOLIZUMABE 200mg/ML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414435</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29.194,80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810,97</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CICLOSPORINA 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271106</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600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1.264,00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2,11</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CICLOSPORINA  100MG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271107</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600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3.242,00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5,40</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CINACALCETE 60MG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304790</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600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4.846,00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8,08</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CLORAMBUCIL 2MG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270445</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500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2.095,00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tabs>
                <w:tab w:val="clear" w:pos="708"/>
                <w:tab w:val="left" w:pos="1575" w:leader="none"/>
              </w:tabs>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4,19</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Standard"/>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rPr>
              <w:t>CLOZAPINA 100MG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272431</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1.200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3.060,00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2,55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rPr>
              <w:t>CLOZAPINA 25MG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272429</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1.200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876,00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0,73</w:t>
            </w:r>
          </w:p>
        </w:tc>
      </w:tr>
      <w:tr>
        <w:trPr>
          <w:trHeight w:val="410" w:hRule="atLeast"/>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DASATINIBE 100MG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412031</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480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207.067,20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431,39</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DEFERASIROX 250MG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325836</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540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11.095,20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20,55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DEFERASIROX 500MG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325837</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1.200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34.028,00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28,36</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DEGARELIX, ACETATO 120MG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 AMPOLA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435230</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48</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24.649,12</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513,52</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DEGARELIX, ACETATO  80MG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 AMPOLA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435231</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48</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28.807,04</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600,15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DENOSUMABE 60MG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421223</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48</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39.803,84</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829,25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DESMOPRESSINA, ACETATO 0,1MG/PUFF (2,5ML)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268074</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2.878,08</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79,95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ELTROMBOPAG OLAMINA 25MG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410019</w:t>
            </w:r>
          </w:p>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31.793,00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105,98</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ELTROMBOPAG OLAMINA 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410020</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63.594,00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211,98</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ENOXAPARINA 20MG  SERINGA C/DISPOSITIVO SEGURANÇA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 0,2ML</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448982</w:t>
            </w:r>
          </w:p>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150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3.607,00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24,05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ENOXAPARINA 40MG  SERINGA C/DISPOSITIVO SEGURANÇA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 0,4ML</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448982</w:t>
            </w:r>
          </w:p>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150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3.024,00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20,16</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ENOXAPARINA 60MG  SERINGA C/DISPOSITIVO SEGURANÇA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 0,6ML</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448982</w:t>
            </w:r>
          </w:p>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150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3.341,00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24,95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ENOXAPARINA 80MG  SERINGA C/DISPOSITIVO SEGURANÇA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 0,8ML</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448982</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150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8.611,50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57,41</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ENOXAPARINA 100MG  SERINGA C/DISPOSITIVO SEGURANÇA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 1ML</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448982</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150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4.689,0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32,46</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ENZALUTAMIDA 40MG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433690</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900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76.491,00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84,99</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ERLOTINIBE 150MG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312569</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86.992,80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241,65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ESPIRAMICINA 1.500.000 UI</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343494</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1.543,20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4,29</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EVOROLIMO 10mg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393139</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83.056,00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276,85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EVOROLIMO 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393138</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41.086,00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136,95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EVOROLIMO 2,5mg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427409</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49.338,00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164,46</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EXEMESTANO 25MG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DRÁGEA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282151</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720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4.617,60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6,41</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FAMPRIDINA 10mg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429102</w:t>
            </w:r>
          </w:p>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7.977,60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22,16</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FILGRASTIM 300MCG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300412</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1.349,88</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37,50</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FORMOTEROL 6mcg + BECLOMETASONA 100mcg</w:t>
            </w:r>
          </w:p>
          <w:p>
            <w:pPr>
              <w:pStyle w:val="Normal"/>
              <w:widowControl w:val="false"/>
              <w:spacing w:lineRule="auto" w:line="240" w:before="0" w:after="0"/>
              <w:contextualSpacing/>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470130</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24</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8.288,16</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345,34</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FULVESTRANTO 50MG/ml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448707</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72</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21.576,00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299,67</w:t>
            </w:r>
          </w:p>
        </w:tc>
      </w:tr>
      <w:tr>
        <w:trPr>
          <w:trHeight w:val="835" w:hRule="atLeast"/>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FUMARATO DE DIMETILA 120mg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437869</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10.290,00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28,58</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GEFITINIBE 250mg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282040</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23.857,20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66,27</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GOLIMUMABE 50MG/ML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414430</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142.418,40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3.956,07</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GOSSERRELINA, ACETATO 10,8MG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268108</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72</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104.922,96</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1.457,26</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HIALURONATO DE SÓDIO 20MG/2ML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448711</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12.006,00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333,50</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HILANO G-F20  6mL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448711</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24</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22.782,80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949,28</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IBRUTINIBE 140MG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430404</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480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225.366,40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469,51</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IMATINIBE 100MG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273317</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480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13.579,20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28,29</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IMATINIBE 400MG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274704</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480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54.432,00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113,40</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INSULINA DEGLUDECA 100UI/mL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TUBETE</w:t>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3ML</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433218</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6.253,00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104,22</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bookmarkStart w:id="0" w:name="__DdeLink__21954_27313416312"/>
            <w:r>
              <w:rPr>
                <w:rFonts w:cs="Calibri" w:ascii="Calibri" w:hAnsi="Calibri" w:asciiTheme="minorHAnsi" w:cstheme="minorHAnsi" w:hAnsiTheme="minorHAnsi"/>
                <w:color w:val="000000"/>
                <w:sz w:val="24"/>
                <w:szCs w:val="24"/>
              </w:rPr>
              <w:t>INSULINA GLARGINA</w:t>
            </w:r>
            <w:bookmarkEnd w:id="0"/>
            <w:r>
              <w:rPr>
                <w:rFonts w:cs="Calibri" w:ascii="Calibri" w:hAnsi="Calibri" w:asciiTheme="minorHAnsi" w:cstheme="minorHAnsi" w:hAnsiTheme="minorHAnsi"/>
                <w:color w:val="000000"/>
                <w:sz w:val="24"/>
                <w:szCs w:val="24"/>
              </w:rPr>
              <w:t xml:space="preserve"> CANETA 300UI/ML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TUBETE</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438433</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72</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4.682,88</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65,04</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INSULINA GLARGINA 100UI/ML FRASCO 10ML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 AMPOLA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273836</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2.686,80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44,78</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LAPATINIBE, DITOSILATO 250MG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361174</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23.556,00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65,43</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LENALIDOMIDA 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365047</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600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374.984,00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624,97</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LENALIDOMIDA 10MG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365048</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600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393.312,00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655,52</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LENALIDOMIDA 15MG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365049</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600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369.584,00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615,97</w:t>
            </w:r>
          </w:p>
        </w:tc>
      </w:tr>
      <w:tr>
        <w:trPr>
          <w:trHeight w:val="304" w:hRule="atLeast"/>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LENALIDOMIDA 25MG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364816</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600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401.652,00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784,64</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LETROZOL 2,5MG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273407</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1.440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8.625,60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5,99</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LEUPRORRELINA ACETATO 3,75MG FA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 AMPOLA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305257</w:t>
            </w:r>
          </w:p>
        </w:tc>
        <w:tc>
          <w:tcPr>
            <w:tcW w:w="898"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10.272,48</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285,35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LEUPRORRELINA, ACETATO 22,5MG FA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 AMPOLA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305259</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24,683,40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685,65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LINEZOLIDA 600mg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273412</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15.019,20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41,72</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LIRAGLUTIDA 6MG/ML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UNIDADE</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448754</w:t>
            </w:r>
          </w:p>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24</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4.3663,04</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181,72</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MEGESTROL, ACETATO 160MG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271654</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1.737,60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4,34</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MERCAPTOPURINA 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270423</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1.561,20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4,34</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MESALAZINA 500mg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448859</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1.098,00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MESALAZINA MMX 1.200mg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448860</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2.736,00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7,48</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METILFENIDATO, CLORIDRATO 30mg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305490</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720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6.554,40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9,10</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METILFENIDATO, CLORIDRATO 40mg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305489</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720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5.023,20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6,98</w:t>
            </w:r>
          </w:p>
        </w:tc>
      </w:tr>
      <w:tr>
        <w:trPr>
          <w:trHeight w:val="482" w:hRule="atLeast"/>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MICOFENOLATO DE MOFETIL 500MG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448579</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1.268,40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3,52</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NALTREXONA, CLORIDRATO 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273266</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1.284,00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3,57</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NILOTINIBE 200MG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374967</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39.789,60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110,53</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NINTEDANIBE 150MG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436345</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77.492,40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215,26</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OLANZAPINA 10MG COMP</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271621</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1.200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rPr>
                <w:rFonts w:ascii="Calibri" w:hAnsi="Calibri" w:cs="Calibri"/>
                <w:color w:val="000000"/>
                <w:sz w:val="24"/>
                <w:szCs w:val="24"/>
              </w:rPr>
            </w:pPr>
            <w:r>
              <w:rPr>
                <w:rFonts w:cs="Calibri" w:ascii="Calibri" w:hAnsi="Calibri" w:asciiTheme="minorHAnsi" w:cstheme="minorHAnsi" w:hAnsiTheme="minorHAnsi"/>
                <w:color w:val="000000"/>
                <w:sz w:val="24"/>
                <w:szCs w:val="24"/>
              </w:rPr>
              <w:t>576,00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0,48</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OMALIZUMABE 150MG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 AMPOLA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452740</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72</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135.495,60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1.881,88</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PALIPERIDONA 3MG COMP LIBERAÇÃO PROLONGADA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360824</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1.200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rPr>
                <w:rFonts w:ascii="Calibri" w:hAnsi="Calibri" w:cs="Calibri"/>
                <w:color w:val="000000"/>
                <w:sz w:val="24"/>
                <w:szCs w:val="24"/>
              </w:rPr>
            </w:pPr>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rPr>
              <w:t>15.824,00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13,19</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PALIPERIDONA 6MG COMP LIBERAÇÃO PROLONGADA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360823</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1.200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33.258,00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27,72</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PALIPERIDONA 100MG/ML   SERINGA  0,75ML LIBERAÇÃO PROLONGADA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411397</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4483.793,00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1.612,64</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PALIPERIDONA 100MG/ML SERINGA  1ML LIBERAÇÃO PROLONGADA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411397</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401.154,00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1.337,18</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PAZOPANIBE CLORIDRATO 200MG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399997</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1.200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82.792,00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68,99</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PAZOPANIBE CLORIDRATO 400MG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399996</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1.200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165.328,00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137,77</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PRAMIPEXOL 1MG COMP</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272826</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1.200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1.284,00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1,07</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PRAMIPEXOL 0,25MG COMP</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272825</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1.200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884,00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0,74</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QUETIAPINA FUMARATO 300MG COMP</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449243</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1.500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15.455,00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10,30</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RISANQUIZUMABE 75 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465427</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303.331,08</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8.425,56</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RIVASTIGMINA 27MG EQUIVALENTE A 13,3MG/ 24HORAS</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ADESIVO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362059</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4.912,80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13,65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RIVASTIGMINA 9MG EQUIVALENTE A 4,6MG/24HORAS CÁPS</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ADESIVO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362057</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4.201,20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11,67</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RIVASTIGMINA 18MG EQUIVALENTE A 9,5MG/ 24HORAS CÁPS</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ADESIVO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362058</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6.093,60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17,84</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RIVASTIGMINA 3MG CÁPS</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CAPSULA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267894</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1.086,00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3,02</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RIVASTIGMINA 6MG CÁPS</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CAPSULA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267895</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1.438,80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4,00</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ROMOSOZUMABE 90mg/mL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480015</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108.206,40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1.803,44</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RUXOLITINIBE 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422156</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81.910,80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227,53</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RUXOLITINIBE 15MG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438741</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cs="Calibri"/>
                <w:color w:val="000000"/>
                <w:sz w:val="24"/>
                <w:szCs w:val="24"/>
              </w:rPr>
            </w:pPr>
            <w:r>
              <w:rPr>
                <w:rFonts w:eastAsia="Calibri" w:cs="Calibri" w:ascii="Calibri" w:hAnsi="Calibri" w:asciiTheme="minorHAnsi" w:cstheme="minorHAnsi" w:hAnsiTheme="minorHAnsi"/>
                <w:color w:val="000000"/>
                <w:sz w:val="24"/>
                <w:szCs w:val="24"/>
              </w:rPr>
              <w:t>1.080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421.905,60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390,65</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RUXOLITINIBE 20MG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273820</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125.722,80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349,23</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SECUQUINUMABE 150mg/ml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437083</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117.472,44</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3.263,12</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SOMATROPINA 5,3MG (16UI) FA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 AMPOLA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318989</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165.387,60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459,41</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SORAFENIBE, TOSILATO 200MG COMP</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330335</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720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70.531,20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97,96</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SUNITINIBE 12,5MG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344563</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720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90.432,00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125,60</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SUNITINIBE 25MG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344562</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720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206.884,80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287,34</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SUNITINIBE 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344564</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720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390.936,00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542,97</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TEMOZOLOMIDA 20MG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CAPSULA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273194</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1.500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12.764,00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8,51</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TEMOZOLOMIDA 100MG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CAPSULA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273195</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1.500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39.025,00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26,02</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TEMOZOLOMIDA 250MG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CAPSULA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273192</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1.200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68.796,00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rPr>
                <w:rFonts w:ascii="Calibri" w:hAnsi="Calibri" w:cs="Calibri"/>
                <w:color w:val="000000"/>
                <w:sz w:val="24"/>
                <w:szCs w:val="24"/>
              </w:rPr>
            </w:pPr>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rPr>
              <w:t>57,33</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TERIPARATIDA 250MCG FLACONETE  2,40mL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FLACONETE 2,40ML</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331223</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24</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64.515,12</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2.688,13</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TESTOSTERONA, UNDECILATO 250MG/ML AMP 4mL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AMPOLA 4ML</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338288</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120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18.280,00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152,33</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TIOGUANINA 40MG COMP</w:t>
            </w:r>
          </w:p>
          <w:p>
            <w:pPr>
              <w:pStyle w:val="Normal"/>
              <w:widowControl w:val="false"/>
              <w:spacing w:lineRule="auto" w:line="240" w:before="0" w:after="0"/>
              <w:contextualSpacing/>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270424</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720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6.480,00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9,00</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TIOTRÓPIO, BROMETO 2,5MCG PUFF FRASCO 4ML (60 DOSES)</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 COM 60 DOSES</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383660</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78.313,00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261,04</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TOFACITINIBE 5MG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434872</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1.200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82.804,00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69,00</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TOXINA BOTULÍNICA TIPO A 100U FA</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FRASCO AMPOLA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292372</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120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93.49,80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779,09</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TRETINOÍNA 10mg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CÁPSULA</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278393</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rPr>
              <w:t>4.954,80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13,76</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USTEQUINUMABE 90MG/ML SERINGA 0,5mL</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SERINGA 0,5ML</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400563</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24</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374.324,96</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15.596,87</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VEMURAFENIBE 240MG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418793</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600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98.378,00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163,96</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VENETOCLAX 100mg</w:t>
            </w:r>
          </w:p>
        </w:tc>
        <w:tc>
          <w:tcPr>
            <w:tcW w:w="1621"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COMPRIMIDO</w:t>
            </w:r>
          </w:p>
        </w:tc>
        <w:tc>
          <w:tcPr>
            <w:tcW w:w="124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450785</w:t>
            </w:r>
          </w:p>
        </w:tc>
        <w:tc>
          <w:tcPr>
            <w:tcW w:w="898"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360</w:t>
            </w:r>
          </w:p>
        </w:tc>
        <w:tc>
          <w:tcPr>
            <w:tcW w:w="1605" w:type="dxa"/>
            <w:tcBorders>
              <w:top w:val="single" w:sz="8" w:space="0" w:color="00000A"/>
              <w:left w:val="single" w:sz="8" w:space="0" w:color="00000A"/>
              <w:bottom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81.825,60</w:t>
            </w:r>
          </w:p>
        </w:tc>
        <w:tc>
          <w:tcPr>
            <w:tcW w:w="1275" w:type="dxa"/>
            <w:tcBorders>
              <w:top w:val="single" w:sz="8" w:space="0" w:color="00000A"/>
              <w:left w:val="single" w:sz="8" w:space="0" w:color="00000A"/>
              <w:bottom w:val="single" w:sz="8" w:space="0" w:color="00000A"/>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227,29</w:t>
            </w:r>
          </w:p>
        </w:tc>
      </w:tr>
      <w:tr>
        <w:trPr/>
        <w:tc>
          <w:tcPr>
            <w:tcW w:w="623" w:type="dxa"/>
            <w:tcBorders>
              <w:top w:val="single" w:sz="8" w:space="0" w:color="00000A"/>
              <w:left w:val="single" w:sz="8" w:space="0" w:color="00000A"/>
              <w:bottom w:val="single" w:sz="8" w:space="0" w:color="00000A"/>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8" w:space="0" w:color="00000A"/>
              <w:left w:val="single" w:sz="8" w:space="0" w:color="00000A"/>
              <w:bottom w:val="single" w:sz="4" w:space="0" w:color="000000"/>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VINORELBINA 20MG</w:t>
            </w:r>
          </w:p>
        </w:tc>
        <w:tc>
          <w:tcPr>
            <w:tcW w:w="1621" w:type="dxa"/>
            <w:tcBorders>
              <w:top w:val="single" w:sz="8" w:space="0" w:color="00000A"/>
              <w:left w:val="single" w:sz="8" w:space="0" w:color="00000A"/>
              <w:bottom w:val="single" w:sz="4" w:space="0" w:color="000000"/>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CAPSULA</w:t>
            </w:r>
          </w:p>
        </w:tc>
        <w:tc>
          <w:tcPr>
            <w:tcW w:w="1245" w:type="dxa"/>
            <w:tcBorders>
              <w:top w:val="single" w:sz="8" w:space="0" w:color="00000A"/>
              <w:left w:val="single" w:sz="8" w:space="0" w:color="00000A"/>
              <w:bottom w:val="single" w:sz="4" w:space="0" w:color="000000"/>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383786</w:t>
            </w:r>
          </w:p>
        </w:tc>
        <w:tc>
          <w:tcPr>
            <w:tcW w:w="898" w:type="dxa"/>
            <w:tcBorders>
              <w:top w:val="single" w:sz="8" w:space="0" w:color="00000A"/>
              <w:left w:val="single" w:sz="8" w:space="0" w:color="00000A"/>
              <w:bottom w:val="single" w:sz="4" w:space="0" w:color="000000"/>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600</w:t>
            </w:r>
          </w:p>
        </w:tc>
        <w:tc>
          <w:tcPr>
            <w:tcW w:w="1605" w:type="dxa"/>
            <w:tcBorders>
              <w:top w:val="single" w:sz="8" w:space="0" w:color="00000A"/>
              <w:left w:val="single" w:sz="8" w:space="0" w:color="00000A"/>
              <w:bottom w:val="single" w:sz="4" w:space="0" w:color="000000"/>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82.096,00</w:t>
            </w:r>
          </w:p>
        </w:tc>
        <w:tc>
          <w:tcPr>
            <w:tcW w:w="1275" w:type="dxa"/>
            <w:tcBorders>
              <w:top w:val="single" w:sz="8" w:space="0" w:color="00000A"/>
              <w:left w:val="single" w:sz="8" w:space="0" w:color="00000A"/>
              <w:bottom w:val="single" w:sz="4" w:space="0" w:color="000000"/>
              <w:right w:val="single" w:sz="8" w:space="0" w:color="00000A"/>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136,83</w:t>
            </w:r>
          </w:p>
        </w:tc>
      </w:tr>
      <w:tr>
        <w:trPr/>
        <w:tc>
          <w:tcPr>
            <w:tcW w:w="623" w:type="dxa"/>
            <w:tcBorders>
              <w:top w:val="single" w:sz="8" w:space="0" w:color="00000A"/>
              <w:left w:val="single" w:sz="8" w:space="0" w:color="00000A"/>
              <w:bottom w:val="single" w:sz="4" w:space="0" w:color="000000"/>
              <w:right w:val="single" w:sz="4" w:space="0" w:color="000000"/>
            </w:tcBorders>
            <w:shd w:color="auto" w:fill="auto" w:val="clear"/>
            <w:vAlign w:val="center"/>
          </w:tcPr>
          <w:p>
            <w:pPr>
              <w:pStyle w:val="Contedodatabela"/>
              <w:widowControl w:val="false"/>
              <w:numPr>
                <w:ilvl w:val="0"/>
                <w:numId w:val="2"/>
              </w:numPr>
              <w:spacing w:lineRule="auto" w:line="240" w:before="0" w:after="0"/>
              <w:contextualSpacing/>
              <w:rPr>
                <w:rFonts w:ascii="Calibri" w:hAnsi="Calibri" w:eastAsia="Calibri" w:cs="Calibri" w:asciiTheme="minorHAnsi" w:cstheme="minorHAnsi" w:hAnsiTheme="minorHAnsi"/>
                <w:color w:val="000000"/>
                <w:sz w:val="24"/>
                <w:szCs w:val="24"/>
              </w:rPr>
            </w:pPr>
            <w:r>
              <w:rPr>
                <w:rFonts w:eastAsia="Calibri" w:cs="Calibri" w:cstheme="minorHAnsi" w:ascii="Calibri" w:hAnsi="Calibri"/>
                <w:color w:val="000000"/>
                <w:sz w:val="24"/>
                <w:szCs w:val="24"/>
              </w:rPr>
            </w:r>
          </w:p>
        </w:tc>
        <w:tc>
          <w:tcPr>
            <w:tcW w:w="31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both"/>
              <w:rPr>
                <w:rFonts w:ascii="Calibri" w:hAnsi="Calibri" w:cs="Calibri"/>
                <w:color w:val="000000"/>
                <w:sz w:val="24"/>
                <w:szCs w:val="24"/>
              </w:rPr>
            </w:pPr>
            <w:r>
              <w:rPr>
                <w:rFonts w:cs="Calibri" w:ascii="Calibri" w:hAnsi="Calibri" w:asciiTheme="minorHAnsi" w:cstheme="minorHAnsi" w:hAnsiTheme="minorHAnsi"/>
                <w:color w:val="000000"/>
                <w:sz w:val="24"/>
                <w:szCs w:val="24"/>
              </w:rPr>
              <w:t>VINORELBINA 30MG</w:t>
            </w:r>
          </w:p>
        </w:tc>
        <w:tc>
          <w:tcPr>
            <w:tcW w:w="162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CAPSULA</w:t>
            </w:r>
          </w:p>
        </w:tc>
        <w:tc>
          <w:tcPr>
            <w:tcW w:w="12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383790</w:t>
            </w:r>
          </w:p>
        </w:tc>
        <w:tc>
          <w:tcPr>
            <w:tcW w:w="89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color w:val="000000"/>
                <w:sz w:val="24"/>
                <w:szCs w:val="24"/>
              </w:rPr>
            </w:pPr>
            <w:r>
              <w:rPr>
                <w:rFonts w:eastAsia="Calibri" w:cs="Calibri" w:ascii="Calibri" w:hAnsi="Calibri" w:asciiTheme="minorHAnsi" w:cstheme="minorHAnsi" w:hAnsiTheme="minorHAnsi"/>
                <w:color w:val="000000"/>
                <w:sz w:val="24"/>
                <w:szCs w:val="24"/>
              </w:rPr>
              <w:t>600</w:t>
            </w:r>
          </w:p>
        </w:tc>
        <w:tc>
          <w:tcPr>
            <w:tcW w:w="16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123.260,00</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205,43</w:t>
            </w:r>
          </w:p>
        </w:tc>
      </w:tr>
      <w:tr>
        <w:trPr/>
        <w:tc>
          <w:tcPr>
            <w:tcW w:w="7529" w:type="dxa"/>
            <w:gridSpan w:val="5"/>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dodatabela"/>
              <w:widowControl w:val="false"/>
              <w:spacing w:lineRule="auto" w:line="240" w:before="0" w:after="0"/>
              <w:contextualSpacing/>
              <w:jc w:val="center"/>
              <w:rPr>
                <w:rFonts w:ascii="Calibri" w:hAnsi="Calibri" w:eastAsia="Calibri" w:cs="Calibri"/>
                <w:b/>
                <w:b/>
                <w:bCs/>
                <w:color w:val="000000"/>
                <w:sz w:val="24"/>
                <w:szCs w:val="24"/>
              </w:rPr>
            </w:pPr>
            <w:r>
              <w:rPr>
                <w:rFonts w:eastAsia="Calibri" w:cs="Calibri" w:ascii="Calibri" w:hAnsi="Calibri" w:asciiTheme="minorHAnsi" w:cstheme="minorHAnsi" w:hAnsiTheme="minorHAnsi"/>
                <w:b/>
                <w:bCs/>
                <w:color w:val="000000"/>
                <w:sz w:val="24"/>
                <w:szCs w:val="24"/>
              </w:rPr>
              <w:t>TOTAL (R$)</w:t>
            </w:r>
          </w:p>
        </w:tc>
        <w:tc>
          <w:tcPr>
            <w:tcW w:w="288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b/>
                <w:bCs/>
                <w:color w:val="000000"/>
                <w:sz w:val="24"/>
                <w:szCs w:val="24"/>
              </w:rPr>
              <w:t>R$ 8.540.993,38</w:t>
            </w:r>
          </w:p>
        </w:tc>
      </w:tr>
    </w:tbl>
    <w:p>
      <w:pPr>
        <w:pStyle w:val="ListParagraph"/>
        <w:numPr>
          <w:ilvl w:val="1"/>
          <w:numId w:val="1"/>
        </w:numPr>
        <w:spacing w:lineRule="auto" w:line="240" w:before="0" w:after="0"/>
        <w:ind w:left="425" w:hanging="0"/>
        <w:contextualSpacing/>
        <w:jc w:val="both"/>
        <w:rPr>
          <w:rFonts w:ascii="Calibri" w:hAnsi="Calibri"/>
          <w:i w:val="false"/>
          <w:i w:val="false"/>
          <w:iCs w:val="false"/>
          <w:color w:val="000000"/>
          <w:sz w:val="24"/>
          <w:szCs w:val="24"/>
        </w:rPr>
      </w:pPr>
      <w:r>
        <w:rPr>
          <w:rFonts w:cs="Arial" w:ascii="Calibri" w:hAnsi="Calibri"/>
          <w:i w:val="false"/>
          <w:iCs w:val="false"/>
          <w:color w:val="000000"/>
          <w:sz w:val="24"/>
          <w:szCs w:val="24"/>
        </w:rPr>
        <w:t xml:space="preserve"> </w:t>
      </w:r>
      <w:r>
        <w:rPr>
          <w:rFonts w:cs="Arial" w:ascii="Calibri" w:hAnsi="Calibri"/>
          <w:b w:val="false"/>
          <w:i w:val="false"/>
          <w:iCs w:val="false"/>
          <w:strike w:val="false"/>
          <w:dstrike w:val="false"/>
          <w:color w:val="000000"/>
          <w:sz w:val="24"/>
          <w:szCs w:val="24"/>
        </w:rPr>
        <w:t>Na</w:t>
      </w:r>
      <w:r>
        <w:rPr>
          <w:rFonts w:cs="Arial" w:ascii="Calibri" w:hAnsi="Calibri"/>
          <w:i w:val="false"/>
          <w:iCs w:val="false"/>
          <w:color w:val="000000"/>
          <w:sz w:val="24"/>
          <w:szCs w:val="24"/>
        </w:rPr>
        <w:t xml:space="preserve"> hipótese de não haver vencedor para a cota reservada, esta poderá ser adjudicada ao vencedor da cota principal ou, diante de sua recusa, aos licitantes remanescentes, desde que pratiquem o preço do primeiro colocado da cota principal.</w:t>
      </w:r>
    </w:p>
    <w:p>
      <w:pPr>
        <w:pStyle w:val="ListParagraph"/>
        <w:numPr>
          <w:ilvl w:val="1"/>
          <w:numId w:val="1"/>
        </w:numPr>
        <w:spacing w:lineRule="auto" w:line="240" w:before="0" w:after="0"/>
        <w:ind w:left="425" w:hanging="0"/>
        <w:contextualSpacing/>
        <w:jc w:val="both"/>
        <w:rPr>
          <w:rFonts w:ascii="Calibri" w:hAnsi="Calibri"/>
          <w:i w:val="false"/>
          <w:i w:val="false"/>
          <w:iCs w:val="false"/>
          <w:color w:val="000000"/>
          <w:sz w:val="24"/>
          <w:szCs w:val="24"/>
        </w:rPr>
      </w:pPr>
      <w:r>
        <w:rPr>
          <w:rFonts w:cs="Arial" w:ascii="Calibri" w:hAnsi="Calibri"/>
          <w:i w:val="false"/>
          <w:iCs w:val="false"/>
          <w:color w:val="000000"/>
          <w:sz w:val="24"/>
          <w:szCs w:val="24"/>
        </w:rPr>
        <w:t>Se a mesma empresa vencer a cota reservada e a cota principal, a contratação das cotas deverá ocorrer pelo menor preço.</w:t>
      </w:r>
    </w:p>
    <w:p>
      <w:pPr>
        <w:pStyle w:val="ListParagraph"/>
        <w:numPr>
          <w:ilvl w:val="1"/>
          <w:numId w:val="1"/>
        </w:numPr>
        <w:spacing w:lineRule="auto" w:line="240" w:before="0" w:after="0"/>
        <w:ind w:left="425" w:hanging="0"/>
        <w:contextualSpacing/>
        <w:jc w:val="both"/>
        <w:rPr>
          <w:rFonts w:ascii="Calibri" w:hAnsi="Calibri"/>
          <w:i w:val="false"/>
          <w:i w:val="false"/>
          <w:iCs w:val="false"/>
          <w:color w:val="000000"/>
          <w:sz w:val="24"/>
          <w:szCs w:val="24"/>
        </w:rPr>
      </w:pPr>
      <w:r>
        <w:rPr>
          <w:rFonts w:cs="Arial" w:ascii="Calibri" w:hAnsi="Calibri"/>
          <w:i w:val="false"/>
          <w:iCs w:val="false"/>
          <w:color w:val="000000"/>
          <w:sz w:val="24"/>
          <w:szCs w:val="24"/>
        </w:rPr>
        <w:t>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pPr>
        <w:pStyle w:val="ListParagraph"/>
        <w:numPr>
          <w:ilvl w:val="1"/>
          <w:numId w:val="1"/>
        </w:numPr>
        <w:spacing w:lineRule="auto" w:line="240" w:before="0" w:after="0"/>
        <w:ind w:left="425" w:hanging="0"/>
        <w:contextualSpacing/>
        <w:jc w:val="both"/>
        <w:rPr>
          <w:rFonts w:ascii="Calibri" w:hAnsi="Calibri"/>
          <w:color w:val="000000"/>
          <w:sz w:val="24"/>
          <w:szCs w:val="24"/>
        </w:rPr>
      </w:pPr>
      <w:r>
        <w:rPr>
          <w:rFonts w:cs="Arial" w:ascii="Calibri" w:hAnsi="Calibri"/>
          <w:bCs/>
          <w:iCs/>
          <w:color w:val="000000"/>
          <w:sz w:val="24"/>
          <w:szCs w:val="24"/>
        </w:rPr>
        <w:t>O prazo de vigência da contratação é de 12 (doze) meses contados do(a) assinatura do Contrato ou Ata de Registro de Preços, prorrogável na forma do art. 57, § 1°, da Lei n° 8.666/93.</w:t>
      </w:r>
    </w:p>
    <w:p>
      <w:pPr>
        <w:pStyle w:val="ListParagraph"/>
        <w:numPr>
          <w:ilvl w:val="0"/>
          <w:numId w:val="0"/>
        </w:numPr>
        <w:spacing w:lineRule="auto" w:line="240" w:before="0" w:after="0"/>
        <w:ind w:left="425" w:hanging="0"/>
        <w:contextualSpacing/>
        <w:jc w:val="both"/>
        <w:rPr>
          <w:rFonts w:cs="Arial"/>
          <w:bCs/>
          <w:iCs/>
        </w:rPr>
      </w:pPr>
      <w:r>
        <w:rPr>
          <w:rFonts w:cs="Arial"/>
          <w:bCs/>
          <w:iCs/>
        </w:rPr>
      </w:r>
    </w:p>
    <w:p>
      <w:pPr>
        <w:pStyle w:val="ListParagraph"/>
        <w:numPr>
          <w:ilvl w:val="0"/>
          <w:numId w:val="1"/>
        </w:numPr>
        <w:spacing w:lineRule="auto" w:line="240" w:before="0" w:after="0"/>
        <w:ind w:left="425" w:hanging="0"/>
        <w:contextualSpacing/>
        <w:jc w:val="both"/>
        <w:rPr>
          <w:rFonts w:ascii="Calibri" w:hAnsi="Calibri"/>
          <w:color w:val="000000"/>
          <w:sz w:val="24"/>
          <w:szCs w:val="24"/>
        </w:rPr>
      </w:pPr>
      <w:r>
        <w:rPr>
          <w:rFonts w:cs="Arial" w:ascii="Calibri" w:hAnsi="Calibri"/>
          <w:bCs/>
          <w:iCs/>
          <w:color w:val="000000"/>
          <w:sz w:val="24"/>
          <w:szCs w:val="24"/>
        </w:rPr>
        <w:t xml:space="preserve"> </w:t>
      </w:r>
      <w:r>
        <w:rPr>
          <w:rFonts w:ascii="Calibri" w:hAnsi="Calibri"/>
          <w:color w:val="000000"/>
          <w:sz w:val="24"/>
          <w:szCs w:val="24"/>
        </w:rPr>
        <w:t>JUSTIFICATIVA E OBJETIVO DA CONTRATAÇÃO</w:t>
      </w:r>
    </w:p>
    <w:p>
      <w:pPr>
        <w:pStyle w:val="ListParagraph"/>
        <w:numPr>
          <w:ilvl w:val="1"/>
          <w:numId w:val="1"/>
        </w:numPr>
        <w:spacing w:lineRule="auto" w:line="240" w:before="0" w:after="0"/>
        <w:ind w:left="425" w:hanging="0"/>
        <w:contextualSpacing/>
        <w:jc w:val="both"/>
        <w:rPr>
          <w:rFonts w:ascii="Calibri" w:hAnsi="Calibri"/>
          <w:color w:val="000000"/>
          <w:sz w:val="24"/>
          <w:szCs w:val="24"/>
        </w:rPr>
      </w:pPr>
      <w:r>
        <w:rPr>
          <w:rFonts w:ascii="Calibri" w:hAnsi="Calibri"/>
          <w:color w:val="000000"/>
          <w:sz w:val="24"/>
          <w:szCs w:val="24"/>
        </w:rPr>
        <w:t>A Justificativa e o objetivo da contratação encontram-se pormenorizadas em Tópico específico dos Estudos Técnicos Preliminares, apêndice deste Termo de Referência.</w:t>
      </w:r>
    </w:p>
    <w:p>
      <w:pPr>
        <w:pStyle w:val="ListParagraph"/>
        <w:numPr>
          <w:ilvl w:val="0"/>
          <w:numId w:val="0"/>
        </w:numPr>
        <w:spacing w:lineRule="auto" w:line="240" w:before="0" w:after="0"/>
        <w:ind w:left="425" w:hanging="0"/>
        <w:contextualSpacing/>
        <w:jc w:val="both"/>
        <w:rPr>
          <w:rFonts w:ascii="Calibri" w:hAnsi="Calibri"/>
          <w:color w:val="000000"/>
          <w:sz w:val="24"/>
          <w:szCs w:val="24"/>
        </w:rPr>
      </w:pPr>
      <w:r>
        <w:rPr>
          <w:rFonts w:ascii="Calibri" w:hAnsi="Calibri"/>
          <w:color w:val="000000"/>
          <w:sz w:val="24"/>
          <w:szCs w:val="24"/>
        </w:rPr>
      </w:r>
    </w:p>
    <w:p>
      <w:pPr>
        <w:pStyle w:val="ListParagraph"/>
        <w:numPr>
          <w:ilvl w:val="0"/>
          <w:numId w:val="1"/>
        </w:numPr>
        <w:spacing w:lineRule="auto" w:line="240" w:before="0" w:after="0"/>
        <w:ind w:left="425" w:hanging="0"/>
        <w:contextualSpacing/>
        <w:jc w:val="both"/>
        <w:rPr>
          <w:rFonts w:ascii="Calibri" w:hAnsi="Calibri"/>
          <w:color w:val="000000"/>
          <w:sz w:val="24"/>
          <w:szCs w:val="24"/>
        </w:rPr>
      </w:pPr>
      <w:r>
        <w:rPr>
          <w:rFonts w:ascii="Calibri" w:hAnsi="Calibri"/>
          <w:color w:val="000000"/>
          <w:sz w:val="24"/>
          <w:szCs w:val="24"/>
        </w:rPr>
        <w:t>DESCRIÇÃO DA SOLUÇÃO:</w:t>
      </w:r>
    </w:p>
    <w:p>
      <w:pPr>
        <w:pStyle w:val="ListParagraph"/>
        <w:numPr>
          <w:ilvl w:val="1"/>
          <w:numId w:val="3"/>
        </w:numPr>
        <w:spacing w:lineRule="auto" w:line="240" w:before="0" w:after="0"/>
        <w:contextualSpacing/>
        <w:jc w:val="both"/>
        <w:rPr>
          <w:rFonts w:ascii="Calibri" w:hAnsi="Calibri"/>
          <w:color w:val="000000"/>
          <w:sz w:val="24"/>
          <w:szCs w:val="24"/>
        </w:rPr>
      </w:pPr>
      <w:r>
        <w:rPr>
          <w:rFonts w:ascii="Calibri" w:hAnsi="Calibri"/>
          <w:color w:val="000000"/>
          <w:sz w:val="24"/>
          <w:szCs w:val="24"/>
        </w:rPr>
        <w:t xml:space="preserve">A descrição da solução como um todo, encontra-se pormenorizada em Tópico específico </w:t>
      </w:r>
      <w:r>
        <w:rPr>
          <w:rFonts w:cs="Arial" w:ascii="Calibri" w:hAnsi="Calibri"/>
          <w:color w:val="000000"/>
          <w:sz w:val="24"/>
          <w:szCs w:val="24"/>
        </w:rPr>
        <w:t>dos</w:t>
      </w:r>
      <w:r>
        <w:rPr>
          <w:rFonts w:ascii="Calibri" w:hAnsi="Calibri"/>
          <w:color w:val="000000"/>
          <w:sz w:val="24"/>
          <w:szCs w:val="24"/>
        </w:rPr>
        <w:t xml:space="preserve"> Estudos Técnicos Preliminares, apêndice deste Termo de Referência.</w:t>
      </w:r>
    </w:p>
    <w:p>
      <w:pPr>
        <w:pStyle w:val="ListParagraph"/>
        <w:spacing w:lineRule="auto" w:line="240" w:before="0" w:after="0"/>
        <w:contextualSpacing/>
        <w:jc w:val="both"/>
        <w:rPr>
          <w:rFonts w:ascii="Calibri" w:hAnsi="Calibri"/>
          <w:color w:val="000000"/>
          <w:sz w:val="24"/>
          <w:szCs w:val="24"/>
        </w:rPr>
      </w:pPr>
      <w:r>
        <w:rPr>
          <w:rFonts w:ascii="Calibri" w:hAnsi="Calibri"/>
          <w:color w:val="000000"/>
          <w:sz w:val="24"/>
          <w:szCs w:val="24"/>
        </w:rPr>
      </w:r>
    </w:p>
    <w:p>
      <w:pPr>
        <w:pStyle w:val="ListParagraph"/>
        <w:numPr>
          <w:ilvl w:val="0"/>
          <w:numId w:val="3"/>
        </w:numPr>
        <w:spacing w:lineRule="auto" w:line="240" w:before="0" w:after="0"/>
        <w:contextualSpacing/>
        <w:jc w:val="both"/>
        <w:rPr>
          <w:rFonts w:ascii="Calibri" w:hAnsi="Calibri"/>
          <w:color w:val="000000"/>
          <w:sz w:val="24"/>
          <w:szCs w:val="24"/>
        </w:rPr>
      </w:pPr>
      <w:r>
        <w:rPr>
          <w:rFonts w:ascii="Calibri" w:hAnsi="Calibri"/>
          <w:color w:val="000000"/>
          <w:sz w:val="24"/>
          <w:szCs w:val="24"/>
        </w:rPr>
        <w:t xml:space="preserve"> </w:t>
      </w:r>
      <w:r>
        <w:rPr>
          <w:rFonts w:ascii="Calibri" w:hAnsi="Calibri"/>
          <w:color w:val="000000"/>
          <w:sz w:val="24"/>
          <w:szCs w:val="24"/>
        </w:rPr>
        <w:t>CLASSIFICAÇÃO DOS BENS COMUNS</w:t>
      </w:r>
    </w:p>
    <w:p>
      <w:pPr>
        <w:pStyle w:val="ListParagraph"/>
        <w:numPr>
          <w:ilvl w:val="1"/>
          <w:numId w:val="3"/>
        </w:numPr>
        <w:spacing w:lineRule="auto" w:line="240" w:before="0" w:after="0"/>
        <w:contextualSpacing/>
        <w:jc w:val="both"/>
        <w:rPr>
          <w:rFonts w:ascii="Calibri" w:hAnsi="Calibri"/>
          <w:color w:val="000000"/>
          <w:sz w:val="24"/>
          <w:szCs w:val="24"/>
        </w:rPr>
      </w:pPr>
      <w:r>
        <w:rPr>
          <w:rFonts w:ascii="Calibri" w:hAnsi="Calibri"/>
          <w:color w:val="000000"/>
          <w:sz w:val="24"/>
          <w:szCs w:val="24"/>
        </w:rPr>
        <w:t xml:space="preserve"> </w:t>
      </w:r>
      <w:r>
        <w:rPr>
          <w:rFonts w:cs="Arial" w:ascii="Calibri" w:hAnsi="Calibri"/>
          <w:iCs/>
          <w:color w:val="000000"/>
          <w:sz w:val="24"/>
          <w:szCs w:val="24"/>
        </w:rPr>
        <w:t>Trata-se de aquisição de bem comum, a ser contratada mediante licitação, na modalidade pregão, em sua forma eletrônica</w:t>
      </w:r>
      <w:r>
        <w:rPr>
          <w:rFonts w:cs="Arial" w:ascii="Calibri" w:hAnsi="Calibri"/>
          <w:bCs/>
          <w:color w:val="000000"/>
          <w:sz w:val="24"/>
          <w:szCs w:val="24"/>
        </w:rPr>
        <w:t>.</w:t>
      </w:r>
    </w:p>
    <w:p>
      <w:pPr>
        <w:pStyle w:val="ListParagraph"/>
        <w:numPr>
          <w:ilvl w:val="0"/>
          <w:numId w:val="0"/>
        </w:numPr>
        <w:spacing w:lineRule="auto" w:line="240" w:before="0" w:after="0"/>
        <w:ind w:left="644" w:hanging="0"/>
        <w:contextualSpacing/>
        <w:jc w:val="both"/>
        <w:rPr>
          <w:rFonts w:ascii="Calibri" w:hAnsi="Calibri" w:cs="Arial"/>
          <w:bCs/>
          <w:color w:val="000000"/>
          <w:sz w:val="24"/>
          <w:szCs w:val="24"/>
        </w:rPr>
      </w:pPr>
      <w:r>
        <w:rPr>
          <w:rFonts w:cs="Arial" w:ascii="Calibri" w:hAnsi="Calibri"/>
          <w:bCs/>
          <w:color w:val="000000"/>
          <w:sz w:val="24"/>
          <w:szCs w:val="24"/>
        </w:rPr>
      </w:r>
    </w:p>
    <w:p>
      <w:pPr>
        <w:pStyle w:val="ListParagraph"/>
        <w:numPr>
          <w:ilvl w:val="0"/>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CRITÉRIOS DE SUSTENTABILIDADE</w:t>
      </w:r>
    </w:p>
    <w:p>
      <w:pPr>
        <w:pStyle w:val="ListParagraph"/>
        <w:numPr>
          <w:ilvl w:val="1"/>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rPr>
        <w:t>Além dos critérios de sustentabilidade eventualmente inseridos na descrição do objeto, devem ser atendidos os seguintes requisitos, que se baseiam no Guia Nacional de Contratações Sustentáveis</w:t>
      </w:r>
    </w:p>
    <w:p>
      <w:pPr>
        <w:pStyle w:val="ListParagraph"/>
        <w:numPr>
          <w:ilvl w:val="1"/>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rPr>
        <w:t>Conforme o art. 1º da Lei nº 6360/1976 ficam sujeitos às normas de vigilância</w:t>
        <w:br/>
        <w:t>sanitária os medicamentos, as drogas, os insumos farmacêuticos e correlatos,</w:t>
        <w:br/>
        <w:t>definidos na Lei nº 5.991, de 1973, bem como os produtos de higiene, os</w:t>
        <w:br/>
        <w:t>cosméticos, perfumes, saneantes domissanitários, produtos destinados à correção</w:t>
        <w:br/>
        <w:t>estética e outros.</w:t>
      </w:r>
    </w:p>
    <w:p>
      <w:pPr>
        <w:pStyle w:val="ListParagraph"/>
        <w:numPr>
          <w:ilvl w:val="1"/>
          <w:numId w:val="3"/>
        </w:numPr>
        <w:spacing w:lineRule="auto" w:line="240" w:before="0" w:after="0"/>
        <w:contextualSpacing/>
        <w:jc w:val="both"/>
        <w:rPr>
          <w:rFonts w:ascii="Calibri" w:hAnsi="Calibri"/>
          <w:color w:val="000000"/>
          <w:sz w:val="24"/>
          <w:szCs w:val="24"/>
        </w:rPr>
      </w:pPr>
      <w:bookmarkStart w:id="1" w:name="page186R_mcid15"/>
      <w:bookmarkEnd w:id="1"/>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rPr>
        <w:t>Pelo teor do art. 2º desta mesma lei, somente poderão extrair, produzir, fabricar,</w:t>
        <w:br/>
        <w:t>transformar, sintetizar, purificar, fracionar, embalar, reembalar, importar, exportar,</w:t>
        <w:br/>
        <w:t>armazenar ou expedir os produtos de que trata o Art. 1º - as empresas para tal fim</w:t>
        <w:br/>
        <w:t>autorizadas pelo Ministério da Saúde e cujos estabelecimentos hajam sido</w:t>
        <w:br/>
        <w:t>licenciados pelo órgão sanitário das Unidades Federativas em que se localizem.</w:t>
      </w:r>
      <w:bookmarkStart w:id="2" w:name="page186R_mcid16"/>
      <w:bookmarkEnd w:id="2"/>
      <w:r>
        <w:rPr>
          <w:rFonts w:cs="Calibri" w:ascii="Calibri" w:hAnsi="Calibri" w:asciiTheme="minorHAnsi" w:cstheme="minorHAnsi" w:hAnsiTheme="minorHAnsi"/>
          <w:color w:val="000000"/>
          <w:sz w:val="24"/>
          <w:szCs w:val="24"/>
        </w:rPr>
        <w:br/>
        <w:t>Nos termos do art. 2º do Decreto nº 8.077/2013 O exercício de atividades</w:t>
        <w:br/>
        <w:t>relacionadas aos produtos referidos no art. 1º da Lei nº 6.360, de 1976, dependerá</w:t>
        <w:br/>
        <w:t>de autorização da Agência Nacional de Vigilância Sanitária - Anvisa e de</w:t>
        <w:br/>
        <w:t>licenciamento dos estabelecimentos pelo órgão competente de saúde dos Estados,</w:t>
        <w:br/>
        <w:t>Distrito Federal ou Municípios, observados os requisitos técnicos definidos em</w:t>
        <w:br/>
        <w:t>regulamento desses órgãos.</w:t>
      </w:r>
    </w:p>
    <w:p>
      <w:pPr>
        <w:pStyle w:val="ListParagraph"/>
        <w:numPr>
          <w:ilvl w:val="1"/>
          <w:numId w:val="3"/>
        </w:numPr>
        <w:spacing w:lineRule="auto" w:line="240" w:before="0" w:after="0"/>
        <w:contextualSpacing/>
        <w:jc w:val="both"/>
        <w:rPr>
          <w:rFonts w:ascii="Calibri" w:hAnsi="Calibri"/>
          <w:color w:val="000000"/>
          <w:sz w:val="24"/>
          <w:szCs w:val="24"/>
        </w:rPr>
      </w:pPr>
      <w:bookmarkStart w:id="3" w:name="page186R_mcid17"/>
      <w:bookmarkEnd w:id="3"/>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rPr>
        <w:t>O art.7º do Decreto nº 8.077/2013 determina que os produtos de que trata a Lei</w:t>
        <w:br/>
        <w:t>nº 6.360, de 1976, devem ser registrados na ANVISA.</w:t>
      </w:r>
      <w:bookmarkStart w:id="4" w:name="page186R_mcid18"/>
      <w:bookmarkEnd w:id="4"/>
      <w:r>
        <w:rPr>
          <w:rFonts w:cs="Calibri" w:ascii="Calibri" w:hAnsi="Calibri" w:asciiTheme="minorHAnsi" w:cstheme="minorHAnsi" w:hAnsiTheme="minorHAnsi"/>
          <w:color w:val="000000"/>
          <w:sz w:val="24"/>
          <w:szCs w:val="24"/>
        </w:rPr>
        <w:br/>
        <w:t>O controle sanitário do comércio de drogas, medicamentos, insumos farmacêuticos</w:t>
        <w:br/>
        <w:t>e correlatos, em todo o território nacional, rege-se pela Lei nº 5.991/1973 que em</w:t>
        <w:br/>
        <w:t>seu art. 2º prevê que as suas disposições abrangem as unidades congêneres que</w:t>
        <w:br/>
        <w:t>integram o serviço público civil e militar da administração direta e indireta, da União,</w:t>
        <w:br/>
        <w:t>dos Estados, do Distrito Federal, dos Territórios e dos Municípios e demais entidades</w:t>
        <w:br/>
        <w:t>paraestatais, no que concerne aos conceitos, definições e responsabilidade técnica.</w:t>
      </w:r>
      <w:bookmarkStart w:id="5" w:name="page186R_mcid19"/>
      <w:bookmarkEnd w:id="5"/>
      <w:r>
        <w:rPr>
          <w:rFonts w:cs="Calibri" w:ascii="Calibri" w:hAnsi="Calibri" w:asciiTheme="minorHAnsi" w:cstheme="minorHAnsi" w:hAnsiTheme="minorHAnsi"/>
          <w:color w:val="000000"/>
          <w:sz w:val="24"/>
          <w:szCs w:val="24"/>
        </w:rPr>
        <w:br/>
      </w:r>
    </w:p>
    <w:p>
      <w:pPr>
        <w:pStyle w:val="ListParagraph"/>
        <w:numPr>
          <w:ilvl w:val="1"/>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rPr>
        <w:t>De acordo com o art. 2º, II e III, da RDC nº 16/2014 da ANVISA, a Autorização de</w:t>
        <w:br/>
        <w:t>Funcionamento (AFE) é o ato de competência da ANVISA, contendo autorização</w:t>
        <w:br/>
        <w:t>para o funcionamento de empresas ou estabelecimentos, instituições e órgãos,</w:t>
        <w:br/>
        <w:t>concedido mediante o cumprimento dos requisitos técnicos e administrativos</w:t>
        <w:br/>
        <w:t>constantes da RDC 16 e a Autorização Especial (AE) é o ato de competência da</w:t>
        <w:br/>
        <w:t>ANVISA que autoriza o exercício de atividades que envolvem insumos</w:t>
        <w:br/>
        <w:t>farmacêuticos, medicamentos e substâncias sujeitas a controle especial, bem como</w:t>
        <w:br/>
        <w:t xml:space="preserve">o cultivo de plantas que possam originar substâncias sujeitas a controle especial </w:t>
      </w:r>
      <w:bookmarkStart w:id="6" w:name="page187R_mcid3"/>
      <w:bookmarkEnd w:id="6"/>
      <w:r>
        <w:rPr>
          <w:rFonts w:cs="Calibri" w:ascii="Calibri" w:hAnsi="Calibri" w:asciiTheme="minorHAnsi" w:cstheme="minorHAnsi" w:hAnsiTheme="minorHAnsi"/>
          <w:color w:val="000000"/>
          <w:sz w:val="24"/>
          <w:szCs w:val="24"/>
        </w:rPr>
        <w:t>mediante comprovação de requisitos técnicos e administrativos específicos,</w:t>
        <w:br/>
        <w:t>constantes da RDC 16.</w:t>
      </w:r>
    </w:p>
    <w:p>
      <w:pPr>
        <w:pStyle w:val="ListParagraph"/>
        <w:numPr>
          <w:ilvl w:val="1"/>
          <w:numId w:val="3"/>
        </w:numPr>
        <w:spacing w:lineRule="auto" w:line="240" w:before="0" w:after="0"/>
        <w:contextualSpacing/>
        <w:jc w:val="both"/>
        <w:rPr>
          <w:rFonts w:ascii="Calibri" w:hAnsi="Calibri"/>
          <w:color w:val="000000"/>
          <w:sz w:val="24"/>
          <w:szCs w:val="24"/>
        </w:rPr>
      </w:pPr>
      <w:bookmarkStart w:id="7" w:name="page187R_mcid4"/>
      <w:bookmarkEnd w:id="7"/>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rPr>
        <w:t>A RDC nº 497, de 20 de maio de 2021 da ANVISA estabelece em seu art. 3º, inciso</w:t>
        <w:br/>
        <w:t>III, que a certificado de boas práticas de fabricação (CBPF) é o documento emitido</w:t>
        <w:br/>
        <w:t>pela Anvisa atestando que determinado estabelecimento cumpre com as Boas</w:t>
        <w:br/>
        <w:t>Práticas de Fabricação dispostas na legislação em vigor;</w:t>
      </w:r>
      <w:bookmarkStart w:id="8" w:name="page187R_mcid5"/>
      <w:bookmarkEnd w:id="8"/>
      <w:r>
        <w:rPr>
          <w:rFonts w:cs="Calibri" w:ascii="Calibri" w:hAnsi="Calibri" w:asciiTheme="minorHAnsi" w:cstheme="minorHAnsi" w:hAnsiTheme="minorHAnsi"/>
          <w:color w:val="000000"/>
          <w:sz w:val="24"/>
          <w:szCs w:val="24"/>
        </w:rPr>
        <w:br/>
        <w:t>Conforme a RDC nº 81, de 5 de novembro de 2008 - Detentor do Documento de</w:t>
        <w:br/>
        <w:t>Regularização do Produto na Anvisa é a designação dada ao titular do registro, do</w:t>
        <w:br/>
        <w:t>cadastro, da autorização de modelo, do comunicado, da notificação ou do protocolo</w:t>
        <w:br/>
        <w:t>pertinente do bem ou produto perante a ANVISA.</w:t>
      </w:r>
    </w:p>
    <w:p>
      <w:pPr>
        <w:pStyle w:val="ListParagraph"/>
        <w:numPr>
          <w:ilvl w:val="1"/>
          <w:numId w:val="3"/>
        </w:numPr>
        <w:spacing w:lineRule="auto" w:line="240" w:before="0" w:after="0"/>
        <w:contextualSpacing/>
        <w:jc w:val="both"/>
        <w:rPr>
          <w:rFonts w:ascii="Calibri" w:hAnsi="Calibri"/>
          <w:color w:val="000000"/>
          <w:sz w:val="24"/>
          <w:szCs w:val="24"/>
        </w:rPr>
      </w:pPr>
      <w:bookmarkStart w:id="9" w:name="page187R_mcid6"/>
      <w:bookmarkEnd w:id="9"/>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rPr>
        <w:t>Pela Portaria nº 384, de 18 de dezembro de 2020, do INMETRO, art. 1º, ficam</w:t>
        <w:br/>
        <w:t>aprovados os Requisitos de Avaliação da Conformidade e as Especificações para o</w:t>
        <w:br/>
        <w:t>Selo de Identificação da Conformidade para Equipamentos sob Regime de Vigilância</w:t>
        <w:br/>
        <w:t>Sanitária - Consolidado, fixados, respectivamente, nos Anexos I e II.</w:t>
      </w:r>
      <w:bookmarkStart w:id="10" w:name="page187R_mcid7"/>
      <w:bookmarkEnd w:id="10"/>
      <w:r>
        <w:rPr>
          <w:rFonts w:cs="Calibri" w:ascii="Calibri" w:hAnsi="Calibri" w:asciiTheme="minorHAnsi" w:cstheme="minorHAnsi" w:hAnsiTheme="minorHAnsi"/>
          <w:color w:val="000000"/>
          <w:sz w:val="24"/>
          <w:szCs w:val="24"/>
        </w:rPr>
        <w:br/>
        <w:t>Consoante o art. 1º, § 2º da Portaria 384/2020 os Requisitos são aplicáveis a</w:t>
        <w:br/>
        <w:t>equipamentos, inclusive suas partes e acessórios, com finalidade médica,</w:t>
        <w:br/>
        <w:t>odontológica, laboratorial ou fisioterápica, utilizados direta ou indiretamente para</w:t>
        <w:br/>
        <w:t>diagnóstico, tratamento, reabilitação e monitoração em seres humanos, e a</w:t>
        <w:br/>
        <w:t>equipamentos com finalidade de embelezamento e estética.</w:t>
      </w:r>
      <w:bookmarkStart w:id="11" w:name="page187R_mcid8"/>
      <w:bookmarkEnd w:id="11"/>
      <w:r>
        <w:rPr>
          <w:rFonts w:cs="Calibri" w:ascii="Calibri" w:hAnsi="Calibri" w:asciiTheme="minorHAnsi" w:cstheme="minorHAnsi" w:hAnsiTheme="minorHAnsi"/>
          <w:color w:val="000000"/>
          <w:sz w:val="24"/>
          <w:szCs w:val="24"/>
        </w:rPr>
        <w:br/>
        <w:t>Encontram-se excluídos do escopo de abrangência desses Requisitos os</w:t>
        <w:br/>
        <w:t>equipamentos que não se enquadram na RDC Anvisa nº 549, de 31 de agosto</w:t>
        <w:br/>
        <w:t>2021 ou substitutiva. (§ 3º da Portaria 384)</w:t>
      </w:r>
      <w:bookmarkStart w:id="12" w:name="page187R_mcid9"/>
      <w:bookmarkEnd w:id="12"/>
      <w:r>
        <w:rPr>
          <w:rFonts w:cs="Calibri" w:ascii="Calibri" w:hAnsi="Calibri" w:asciiTheme="minorHAnsi" w:cstheme="minorHAnsi" w:hAnsiTheme="minorHAnsi"/>
          <w:color w:val="000000"/>
          <w:sz w:val="24"/>
          <w:szCs w:val="24"/>
        </w:rPr>
        <w:t>.</w:t>
      </w:r>
    </w:p>
    <w:p>
      <w:pPr>
        <w:pStyle w:val="ListParagraph"/>
        <w:numPr>
          <w:ilvl w:val="1"/>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rPr>
        <w:t>Nos termos do §4º do art. 1º da Portaria 384, de 2020, cabe à ANVISA a definição</w:t>
        <w:br/>
        <w:t>quanto à exigência de caráter compulsório da certificação.</w:t>
      </w:r>
      <w:bookmarkStart w:id="13" w:name="page187R_mcid10"/>
      <w:bookmarkEnd w:id="13"/>
      <w:r>
        <w:rPr>
          <w:rFonts w:cs="Calibri" w:ascii="Calibri" w:hAnsi="Calibri" w:asciiTheme="minorHAnsi" w:cstheme="minorHAnsi" w:hAnsiTheme="minorHAnsi"/>
          <w:color w:val="000000"/>
          <w:sz w:val="24"/>
          <w:szCs w:val="24"/>
        </w:rPr>
        <w:br/>
        <w:t>A IN ANVISA Nº 116, de 2021, lista, no seu Anexo I, normas técnicas a serem</w:t>
        <w:br/>
        <w:t>adotadas na certificação de conformidade, no âmbito do Sistema Brasileiro de</w:t>
        <w:br/>
        <w:t>Avaliação da Conformidade (SBAC), dos equipamentos sob regime de Vigilância</w:t>
        <w:br/>
        <w:t>Sanitária. Essas normas definem requisitos gerais para segurança básica e</w:t>
        <w:br/>
        <w:t>desempenho essencial, e serão compulsórias a todos os equipamentos sob regime</w:t>
        <w:br/>
        <w:t>de Vigilância Sanitária que estejam dentro dos seus campos de aplicação.</w:t>
      </w:r>
      <w:bookmarkStart w:id="14" w:name="page187R_mcid11"/>
      <w:bookmarkEnd w:id="14"/>
      <w:r>
        <w:rPr>
          <w:rFonts w:cs="Calibri" w:ascii="Calibri" w:hAnsi="Calibri" w:asciiTheme="minorHAnsi" w:cstheme="minorHAnsi" w:hAnsiTheme="minorHAnsi"/>
          <w:color w:val="000000"/>
          <w:sz w:val="24"/>
          <w:szCs w:val="24"/>
        </w:rPr>
        <w:br/>
        <w:t>Portanto, trata-se de requisito compulsório, que exigirá que os equipamentos sob</w:t>
        <w:br/>
        <w:t>regime de Vigilância Sanitária (com finalidade médica, odontológica, laboratorial ou</w:t>
        <w:br/>
        <w:t>fisioterápica, utilizados direta ou indiretamente para diagnóstico, tratamento,</w:t>
        <w:br/>
        <w:t>reabilitação e monitoração em seres humanos) estejam todos com a etiqueta</w:t>
        <w:br/>
        <w:t>compulsória do INMETRO (Selo de Identificação da Conformidade). Esses produtos</w:t>
        <w:br/>
        <w:t>não podem ser comercializados sem a etiqueta do INMETRO. Ou seja, a etiqueta</w:t>
        <w:br/>
        <w:t>do INMETRO no produto será obrigatória.</w:t>
      </w:r>
    </w:p>
    <w:p>
      <w:pPr>
        <w:pStyle w:val="ListParagraph"/>
        <w:numPr>
          <w:ilvl w:val="1"/>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 </w:t>
      </w:r>
      <w:r>
        <w:rPr>
          <w:rFonts w:ascii="Calibri" w:hAnsi="Calibri"/>
          <w:color w:val="000000"/>
          <w:sz w:val="24"/>
          <w:szCs w:val="24"/>
        </w:rPr>
        <w:t>Só será admitida a oferta de produto previamente notificado/registrado na</w:t>
        <w:br/>
        <w:t>ANVISA, conforme a Lei nº 6.360, de 1976 e Decreto nº 8.077, de 2013.</w:t>
      </w:r>
      <w:bookmarkStart w:id="15" w:name="page188R_mcid11"/>
      <w:bookmarkEnd w:id="15"/>
      <w:r>
        <w:rPr>
          <w:rFonts w:ascii="Calibri" w:hAnsi="Calibri"/>
          <w:color w:val="000000"/>
          <w:sz w:val="24"/>
          <w:szCs w:val="24"/>
        </w:rPr>
        <w:br/>
        <w:t>b) Só será admitida a oferta de equipamentos, inclusive suas partes e acessórios,</w:t>
        <w:br/>
        <w:t>com finalidade médica, odontológica, laboratorial ou fisioterápica, utilizados direta</w:t>
        <w:br/>
        <w:t>ou indiretamente para diagnóstico, tratamento, reabilitação e monitoração em seres</w:t>
        <w:br/>
        <w:t>humanos, e equipamentos com finalidade de embelezamento e estética que, nos</w:t>
        <w:br/>
        <w:t>termos da Portaria INMETRO n° 384, de 18 de dezembro de 2020, cumpram os</w:t>
        <w:br/>
        <w:t>Requisitos de Avaliação da Conformidade e as Especificações para o Selo de</w:t>
        <w:br/>
        <w:t>Identificação da Conformidade para Equipamentos sob Regime de Vigilância</w:t>
        <w:br/>
        <w:t>Sanitária - Consolidado, fixados, respectivamente, nos Anexos I e II, disponíveis em</w:t>
        <w:br/>
        <w:t>http://www.inmetro.gov.br/legislacao. (Encontram-se excluídos do escopo de</w:t>
        <w:br/>
        <w:t>abrangência desses Requisitos os equipamentos que não se enquadram na RDC</w:t>
        <w:br/>
        <w:t>Anvisa nº 549, de 31 de agosto 2021 ou substitutiva. Para os equipamentos que se</w:t>
        <w:br/>
        <w:t>enquadram, o Selo de Identificação da Conformidade do INMETRO será</w:t>
        <w:br/>
        <w:t>compulsório e deverá vir afixado no equipamento)</w:t>
      </w:r>
      <w:bookmarkStart w:id="16" w:name="page188R_mcid12"/>
      <w:bookmarkEnd w:id="16"/>
      <w:r>
        <w:rPr>
          <w:rFonts w:ascii="Calibri" w:hAnsi="Calibri"/>
          <w:color w:val="000000"/>
          <w:sz w:val="24"/>
          <w:szCs w:val="24"/>
        </w:rPr>
        <w:br/>
        <w:t>(Em relação aos produtos cuja certificação é voluntária, é possível exigir o</w:t>
        <w:br/>
        <w:t>cumprimento dos requisitos técnicos previstos em normas do INMETRO, mas não</w:t>
        <w:br/>
        <w:t>se pode obrigar a apresentar a certificação do INMETRO (podem ser apresentadas</w:t>
        <w:br/>
        <w:t>certificações equivalentes).</w:t>
      </w:r>
    </w:p>
    <w:p>
      <w:pPr>
        <w:pStyle w:val="Normal"/>
        <w:spacing w:lineRule="auto" w:line="240" w:before="0" w:after="0"/>
        <w:contextualSpacing/>
        <w:jc w:val="both"/>
        <w:rPr>
          <w:rFonts w:ascii="Calibri" w:hAnsi="Calibri"/>
          <w:color w:val="000000"/>
          <w:sz w:val="24"/>
          <w:szCs w:val="24"/>
        </w:rPr>
      </w:pPr>
      <w:r>
        <w:rPr>
          <w:rFonts w:ascii="Calibri" w:hAnsi="Calibri"/>
          <w:color w:val="000000"/>
          <w:sz w:val="24"/>
          <w:szCs w:val="24"/>
        </w:rPr>
        <w:tab/>
        <w:t>Prova de atendimento aos seguintes requisitos:</w:t>
      </w:r>
      <w:bookmarkStart w:id="17" w:name="page189R_mcid6"/>
      <w:bookmarkEnd w:id="17"/>
      <w:r>
        <w:rPr>
          <w:rFonts w:ascii="Calibri" w:hAnsi="Calibri"/>
          <w:color w:val="000000"/>
          <w:sz w:val="24"/>
          <w:szCs w:val="24"/>
        </w:rPr>
        <w:br/>
        <w:tab/>
        <w:t>a.1) a Autorização de Funcionamento (AFE) vigente, emitida pela ANVISA, para os</w:t>
        <w:br/>
        <w:tab/>
        <w:t>produtos abrangidos pela RDC nº 16, de 1º de abril de 2014, da ANVISA;</w:t>
      </w:r>
      <w:bookmarkStart w:id="18" w:name="page189R_mcid7"/>
      <w:bookmarkEnd w:id="18"/>
      <w:r>
        <w:rPr>
          <w:rFonts w:ascii="Calibri" w:hAnsi="Calibri"/>
          <w:color w:val="000000"/>
          <w:sz w:val="24"/>
          <w:szCs w:val="24"/>
        </w:rPr>
        <w:br/>
        <w:tab/>
        <w:t>a.2) a Autorização de Funcionamento (AE) vigente, emitida pela ANVISA, para os</w:t>
        <w:br/>
        <w:tab/>
        <w:t>produtos abrangidos pelo art. 3º da RDC nº 16, de 1º de abril de 2014, da ANVISA</w:t>
      </w:r>
      <w:bookmarkStart w:id="19" w:name="page189R_mcid8"/>
      <w:bookmarkEnd w:id="19"/>
      <w:r>
        <w:rPr>
          <w:rFonts w:ascii="Calibri" w:hAnsi="Calibri"/>
          <w:color w:val="000000"/>
          <w:sz w:val="24"/>
          <w:szCs w:val="24"/>
        </w:rPr>
        <w:t>.</w:t>
      </w:r>
    </w:p>
    <w:p>
      <w:pPr>
        <w:pStyle w:val="ListParagraph"/>
        <w:spacing w:lineRule="auto" w:line="240" w:before="0" w:after="0"/>
        <w:contextualSpacing/>
        <w:jc w:val="both"/>
        <w:rPr>
          <w:rFonts w:ascii="Calibri" w:hAnsi="Calibri"/>
          <w:color w:val="000000"/>
          <w:sz w:val="24"/>
          <w:szCs w:val="24"/>
        </w:rPr>
      </w:pPr>
      <w:r>
        <w:rPr>
          <w:rFonts w:ascii="Calibri" w:hAnsi="Calibri"/>
          <w:color w:val="000000"/>
          <w:sz w:val="24"/>
          <w:szCs w:val="24"/>
        </w:rPr>
      </w:r>
    </w:p>
    <w:p>
      <w:pPr>
        <w:pStyle w:val="ListParagraph"/>
        <w:numPr>
          <w:ilvl w:val="0"/>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ENTREGA E CRITÉRIOS DE ACEITAÇÃO DO OBJETO.</w:t>
      </w:r>
    </w:p>
    <w:p>
      <w:pPr>
        <w:pStyle w:val="ListParagraph"/>
        <w:numPr>
          <w:ilvl w:val="1"/>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iCs/>
          <w:color w:val="000000"/>
          <w:sz w:val="24"/>
          <w:szCs w:val="24"/>
        </w:rPr>
        <w:tab/>
        <w:t xml:space="preserve">O prazo de entrega dos bens é de </w:t>
      </w:r>
      <w:bookmarkStart w:id="20" w:name="_Hlk140499552"/>
      <w:r>
        <w:rPr>
          <w:rFonts w:cs="Calibri" w:ascii="Calibri" w:hAnsi="Calibri" w:asciiTheme="minorHAnsi" w:cstheme="minorHAnsi" w:hAnsiTheme="minorHAnsi"/>
          <w:iCs/>
          <w:color w:val="000000"/>
          <w:sz w:val="24"/>
          <w:szCs w:val="24"/>
        </w:rPr>
        <w:t>30 dias (corridos), contados do envio da Nota de Empenho</w:t>
      </w:r>
      <w:bookmarkEnd w:id="20"/>
      <w:r>
        <w:rPr>
          <w:rFonts w:cs="Calibri" w:ascii="Calibri" w:hAnsi="Calibri" w:asciiTheme="minorHAnsi" w:cstheme="minorHAnsi" w:hAnsiTheme="minorHAnsi"/>
          <w:iCs/>
          <w:color w:val="000000"/>
          <w:sz w:val="24"/>
          <w:szCs w:val="24"/>
        </w:rPr>
        <w:t xml:space="preserve">, em remessa </w:t>
      </w:r>
      <w:r>
        <w:rPr>
          <w:rFonts w:cs="Calibri" w:ascii="Calibri" w:hAnsi="Calibri" w:asciiTheme="minorHAnsi" w:cstheme="minorHAnsi" w:hAnsiTheme="minorHAnsi"/>
          <w:color w:val="000000"/>
          <w:sz w:val="24"/>
          <w:szCs w:val="24"/>
        </w:rPr>
        <w:t xml:space="preserve">parcelada de acordo com a quantidade solicitada na </w:t>
      </w:r>
      <w:r>
        <w:rPr>
          <w:rFonts w:cs="Calibri" w:ascii="Calibri" w:hAnsi="Calibri" w:asciiTheme="minorHAnsi" w:cstheme="minorHAnsi" w:hAnsiTheme="minorHAnsi"/>
          <w:iCs/>
          <w:color w:val="000000"/>
          <w:sz w:val="24"/>
          <w:szCs w:val="24"/>
        </w:rPr>
        <w:t>Nota de Empenho.</w:t>
      </w:r>
    </w:p>
    <w:p>
      <w:pPr>
        <w:pStyle w:val="ListParagraph"/>
        <w:numPr>
          <w:ilvl w:val="1"/>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iCs/>
          <w:color w:val="000000"/>
          <w:sz w:val="24"/>
          <w:szCs w:val="24"/>
        </w:rPr>
        <w:t xml:space="preserve"> </w:t>
      </w:r>
      <w:r>
        <w:rPr>
          <w:rFonts w:cs="Calibri" w:ascii="Calibri" w:hAnsi="Calibri" w:asciiTheme="minorHAnsi" w:cstheme="minorHAnsi" w:hAnsiTheme="minorHAnsi"/>
          <w:b/>
          <w:bCs/>
          <w:iCs/>
          <w:color w:val="000000"/>
          <w:sz w:val="24"/>
          <w:szCs w:val="24"/>
        </w:rPr>
        <w:t xml:space="preserve"> </w:t>
      </w:r>
      <w:r>
        <w:rPr>
          <w:rFonts w:cs="Calibri" w:ascii="Calibri" w:hAnsi="Calibri" w:asciiTheme="minorHAnsi" w:cstheme="minorHAnsi" w:hAnsiTheme="minorHAnsi"/>
          <w:color w:val="000000"/>
          <w:sz w:val="24"/>
          <w:szCs w:val="24"/>
        </w:rPr>
        <w:t>Os bens deverão ser entregues no seguinte endereço:</w:t>
      </w:r>
    </w:p>
    <w:p>
      <w:pPr>
        <w:pStyle w:val="Normal"/>
        <w:spacing w:lineRule="auto" w:line="240" w:before="0" w:after="0"/>
        <w:contextualSpacing/>
        <w:rPr>
          <w:rFonts w:ascii="Calibri" w:hAnsi="Calibri"/>
          <w:color w:val="000000"/>
          <w:sz w:val="24"/>
          <w:szCs w:val="24"/>
        </w:rPr>
      </w:pPr>
      <w:r>
        <w:rPr>
          <w:rFonts w:cs="Calibri" w:ascii="Calibri" w:hAnsi="Calibri" w:asciiTheme="minorHAnsi" w:cstheme="minorHAnsi" w:hAnsiTheme="minorHAnsi"/>
          <w:iCs/>
          <w:color w:val="000000"/>
          <w:sz w:val="24"/>
          <w:szCs w:val="24"/>
        </w:rPr>
        <w:tab/>
        <w:t>ESCOLA DE APRENDIZES-MARINHEIROS DO CEARÁ</w:t>
      </w:r>
    </w:p>
    <w:p>
      <w:pPr>
        <w:pStyle w:val="Nivel2"/>
        <w:spacing w:lineRule="auto" w:line="240" w:before="0" w:after="0"/>
        <w:contextualSpacing/>
        <w:rPr>
          <w:rFonts w:ascii="Calibri" w:hAnsi="Calibri"/>
          <w:color w:val="000000"/>
          <w:sz w:val="24"/>
          <w:szCs w:val="24"/>
        </w:rPr>
      </w:pPr>
      <w:r>
        <w:rPr>
          <w:rFonts w:cs="Calibri" w:ascii="Calibri" w:hAnsi="Calibri" w:asciiTheme="minorHAnsi" w:cstheme="minorHAnsi" w:hAnsiTheme="minorHAnsi"/>
          <w:iCs/>
          <w:color w:val="000000"/>
          <w:sz w:val="24"/>
          <w:szCs w:val="24"/>
        </w:rPr>
        <w:tab/>
        <w:t>Departamento de Saúde – Divisão de Apoio à Saúde – Setor de Farmácia</w:t>
      </w:r>
    </w:p>
    <w:p>
      <w:pPr>
        <w:pStyle w:val="Nivel2"/>
        <w:spacing w:lineRule="auto" w:line="240" w:before="0" w:after="0"/>
        <w:contextualSpacing/>
        <w:rPr>
          <w:rFonts w:ascii="Calibri" w:hAnsi="Calibri"/>
          <w:color w:val="000000"/>
          <w:sz w:val="24"/>
          <w:szCs w:val="24"/>
        </w:rPr>
      </w:pPr>
      <w:r>
        <w:rPr>
          <w:rFonts w:cs="Calibri" w:ascii="Calibri" w:hAnsi="Calibri" w:asciiTheme="minorHAnsi" w:cstheme="minorHAnsi" w:hAnsiTheme="minorHAnsi"/>
          <w:iCs/>
          <w:color w:val="000000"/>
          <w:sz w:val="24"/>
          <w:szCs w:val="24"/>
        </w:rPr>
        <w:tab/>
        <w:t>Av. Coronel Filomeno Gomes, nº 30, Jacarecanga, Fortaleza-CE, CEP 60.010-280</w:t>
      </w:r>
    </w:p>
    <w:p>
      <w:pPr>
        <w:pStyle w:val="Nivel2"/>
        <w:spacing w:lineRule="auto" w:line="240" w:before="0" w:after="0"/>
        <w:ind w:firstLine="709"/>
        <w:contextualSpacing/>
        <w:rPr>
          <w:rFonts w:ascii="Calibri" w:hAnsi="Calibri"/>
          <w:color w:val="000000"/>
          <w:sz w:val="24"/>
          <w:szCs w:val="24"/>
        </w:rPr>
      </w:pPr>
      <w:r>
        <w:rPr>
          <w:rFonts w:cs="Calibri" w:ascii="Calibri" w:hAnsi="Calibri" w:asciiTheme="minorHAnsi" w:cstheme="minorHAnsi" w:hAnsiTheme="minorHAnsi"/>
          <w:iCs/>
          <w:color w:val="000000"/>
          <w:sz w:val="24"/>
          <w:szCs w:val="24"/>
        </w:rPr>
        <w:t>A entrega deverá ocorrer em dias úteis das 8h às 16h.</w:t>
      </w:r>
    </w:p>
    <w:p>
      <w:pPr>
        <w:pStyle w:val="Nvel1SemNum"/>
        <w:spacing w:lineRule="auto" w:line="240" w:before="0" w:after="0"/>
        <w:contextualSpacing/>
        <w:rPr>
          <w:rFonts w:ascii="Calibri" w:hAnsi="Calibri"/>
          <w:color w:val="000000"/>
          <w:sz w:val="24"/>
          <w:szCs w:val="24"/>
        </w:rPr>
      </w:pPr>
      <w:r>
        <w:rPr>
          <w:rFonts w:cs="Calibri" w:ascii="Calibri" w:hAnsi="Calibri" w:asciiTheme="minorHAnsi" w:cstheme="minorHAnsi" w:hAnsiTheme="minorHAnsi"/>
          <w:b w:val="false"/>
          <w:bCs w:val="false"/>
          <w:color w:val="000000"/>
          <w:sz w:val="24"/>
          <w:szCs w:val="24"/>
        </w:rPr>
        <w:t xml:space="preserve">      </w:t>
      </w:r>
      <w:r>
        <w:rPr>
          <w:rFonts w:cs="Calibri" w:ascii="Calibri" w:hAnsi="Calibri" w:asciiTheme="minorHAnsi" w:cstheme="minorHAnsi" w:hAnsiTheme="minorHAnsi"/>
          <w:b w:val="false"/>
          <w:bCs w:val="false"/>
          <w:color w:val="000000"/>
          <w:sz w:val="24"/>
          <w:szCs w:val="24"/>
        </w:rPr>
        <w:t>A programação de parcelas deverá seguir o seguinte prazo de entrega:</w:t>
      </w:r>
    </w:p>
    <w:tbl>
      <w:tblPr>
        <w:tblW w:w="906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1408"/>
        <w:gridCol w:w="4632"/>
        <w:gridCol w:w="3021"/>
      </w:tblGrid>
      <w:tr>
        <w:trPr/>
        <w:tc>
          <w:tcPr>
            <w:tcW w:w="1408"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b/>
                <w:bCs/>
                <w:color w:val="000000" w:themeColor="text1"/>
                <w:sz w:val="24"/>
                <w:szCs w:val="24"/>
              </w:rPr>
              <w:t>Parcela</w:t>
            </w:r>
          </w:p>
        </w:tc>
        <w:tc>
          <w:tcPr>
            <w:tcW w:w="4632"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b/>
                <w:bCs/>
                <w:color w:val="000000" w:themeColor="text1"/>
                <w:sz w:val="24"/>
                <w:szCs w:val="24"/>
              </w:rPr>
              <w:t>Composição da parcela</w:t>
            </w:r>
          </w:p>
        </w:tc>
        <w:tc>
          <w:tcPr>
            <w:tcW w:w="3021"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b/>
                <w:bCs/>
                <w:color w:val="000000" w:themeColor="text1"/>
                <w:sz w:val="24"/>
                <w:szCs w:val="24"/>
              </w:rPr>
              <w:t>Prazo de entrega</w:t>
            </w:r>
          </w:p>
        </w:tc>
      </w:tr>
      <w:tr>
        <w:trPr/>
        <w:tc>
          <w:tcPr>
            <w:tcW w:w="1408"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themeColor="text1"/>
                <w:sz w:val="24"/>
                <w:szCs w:val="24"/>
              </w:rPr>
              <w:t>1ª</w:t>
            </w:r>
          </w:p>
        </w:tc>
        <w:tc>
          <w:tcPr>
            <w:tcW w:w="4632"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themeColor="text1"/>
                <w:sz w:val="24"/>
                <w:szCs w:val="24"/>
              </w:rPr>
              <w:t>Primeiro pedido, os itens serão solicitados no primeiro quadrimestre (4 meses) de vigência do processo licitatório.</w:t>
            </w:r>
          </w:p>
        </w:tc>
        <w:tc>
          <w:tcPr>
            <w:tcW w:w="3021"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themeColor="text1"/>
                <w:sz w:val="24"/>
                <w:szCs w:val="24"/>
              </w:rPr>
              <w:t>30 dias (corridos)</w:t>
            </w:r>
          </w:p>
        </w:tc>
      </w:tr>
      <w:tr>
        <w:trPr/>
        <w:tc>
          <w:tcPr>
            <w:tcW w:w="1408"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themeColor="text1"/>
                <w:sz w:val="24"/>
                <w:szCs w:val="24"/>
              </w:rPr>
              <w:t>2ª</w:t>
            </w:r>
          </w:p>
        </w:tc>
        <w:tc>
          <w:tcPr>
            <w:tcW w:w="4632"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themeColor="text1"/>
                <w:sz w:val="24"/>
                <w:szCs w:val="24"/>
              </w:rPr>
              <w:t>Segundo pedido, os itens serão solicitados no segundo quadrimestre (4 meses) de vigência do processo licitatório.</w:t>
            </w:r>
          </w:p>
        </w:tc>
        <w:tc>
          <w:tcPr>
            <w:tcW w:w="3021"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themeColor="text1"/>
                <w:sz w:val="24"/>
                <w:szCs w:val="24"/>
              </w:rPr>
              <w:t>30 dias (corridos)</w:t>
            </w:r>
          </w:p>
        </w:tc>
      </w:tr>
      <w:tr>
        <w:trPr/>
        <w:tc>
          <w:tcPr>
            <w:tcW w:w="1408"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themeColor="text1"/>
                <w:sz w:val="24"/>
                <w:szCs w:val="24"/>
              </w:rPr>
              <w:t>3ª</w:t>
            </w:r>
          </w:p>
        </w:tc>
        <w:tc>
          <w:tcPr>
            <w:tcW w:w="4632"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themeColor="text1"/>
                <w:sz w:val="24"/>
                <w:szCs w:val="24"/>
              </w:rPr>
              <w:t>Terceiro pedido, os itens serão solicitados no terceiro quadrimestre (4 meses) de vigência do processo licitatório.</w:t>
            </w:r>
          </w:p>
        </w:tc>
        <w:tc>
          <w:tcPr>
            <w:tcW w:w="3021"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contextualSpacing/>
              <w:jc w:val="center"/>
              <w:rPr>
                <w:rFonts w:ascii="Calibri" w:hAnsi="Calibri" w:cs="Calibri"/>
                <w:color w:val="000000"/>
                <w:sz w:val="24"/>
                <w:szCs w:val="24"/>
              </w:rPr>
            </w:pPr>
            <w:r>
              <w:rPr>
                <w:rFonts w:cs="Calibri" w:ascii="Calibri" w:hAnsi="Calibri" w:asciiTheme="minorHAnsi" w:cstheme="minorHAnsi" w:hAnsiTheme="minorHAnsi"/>
                <w:color w:val="000000" w:themeColor="text1"/>
                <w:sz w:val="24"/>
                <w:szCs w:val="24"/>
              </w:rPr>
              <w:t>30 dias (corridos)</w:t>
            </w:r>
          </w:p>
        </w:tc>
      </w:tr>
    </w:tbl>
    <w:p>
      <w:pPr>
        <w:pStyle w:val="Nvel2Red"/>
        <w:spacing w:lineRule="auto" w:line="240" w:before="0" w:after="0"/>
        <w:ind w:left="709" w:hanging="0"/>
        <w:contextualSpacing/>
        <w:jc w:val="both"/>
        <w:rPr>
          <w:rFonts w:ascii="Calibri" w:hAnsi="Calibri"/>
          <w:color w:val="000000"/>
          <w:sz w:val="24"/>
          <w:szCs w:val="24"/>
        </w:rPr>
      </w:pPr>
      <w:r>
        <w:rPr>
          <w:rFonts w:ascii="Calibri" w:hAnsi="Calibri"/>
          <w:color w:val="000000"/>
          <w:sz w:val="24"/>
          <w:szCs w:val="24"/>
        </w:rPr>
      </w:r>
    </w:p>
    <w:p>
      <w:pPr>
        <w:pStyle w:val="ListParagraph"/>
        <w:numPr>
          <w:ilvl w:val="1"/>
          <w:numId w:val="3"/>
        </w:numPr>
        <w:spacing w:lineRule="auto" w:line="240" w:before="0" w:after="0"/>
        <w:contextualSpacing/>
        <w:jc w:val="both"/>
        <w:rPr>
          <w:rFonts w:ascii="Calibri" w:hAnsi="Calibri"/>
          <w:color w:val="000000"/>
          <w:sz w:val="24"/>
          <w:szCs w:val="24"/>
        </w:rPr>
      </w:pPr>
      <w:r>
        <w:rPr>
          <w:rFonts w:ascii="Calibri" w:hAnsi="Calibri"/>
          <w:color w:val="000000"/>
          <w:sz w:val="24"/>
          <w:szCs w:val="24"/>
        </w:rPr>
        <w:t xml:space="preserve"> </w:t>
      </w:r>
      <w:r>
        <w:rPr>
          <w:rFonts w:cs="Calibri" w:ascii="Calibri" w:hAnsi="Calibri" w:asciiTheme="minorHAnsi" w:cstheme="minorHAnsi" w:hAnsiTheme="minorHAnsi"/>
          <w:i w:val="false"/>
          <w:iCs w:val="false"/>
          <w:color w:val="000000"/>
          <w:sz w:val="24"/>
          <w:szCs w:val="24"/>
        </w:rPr>
        <w:t>Caso não seja possível a entrega na data assinalada, a empresa deverá comunicar as razões respectivas com pelo menos 20 dias (corridos) de antecedência para que qualquer pleito de prorrogação de prazo seja analisado, ressalvadas situações de caso fortuito e força maior.</w:t>
      </w:r>
    </w:p>
    <w:p>
      <w:pPr>
        <w:pStyle w:val="ListParagraph"/>
        <w:numPr>
          <w:ilvl w:val="1"/>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i w:val="false"/>
          <w:iCs w:val="false"/>
          <w:color w:val="000000"/>
          <w:sz w:val="24"/>
          <w:szCs w:val="24"/>
        </w:rPr>
        <w:t xml:space="preserve"> </w:t>
      </w:r>
      <w:r>
        <w:rPr>
          <w:rFonts w:cs="Calibri" w:ascii="Calibri" w:hAnsi="Calibri" w:asciiTheme="minorHAnsi" w:cstheme="minorHAnsi" w:hAnsiTheme="minorHAnsi"/>
          <w:bCs/>
          <w:color w:val="000000"/>
          <w:sz w:val="24"/>
          <w:szCs w:val="24"/>
        </w:rPr>
        <w:tab/>
        <w:t xml:space="preserve">Os bens poderão ser rejeitados, no todo ou em parte, quando em desacordo com as especificações constantes neste Termo de Referência e na proposta, devendo ser substituídos no prazo de </w:t>
      </w:r>
      <w:r>
        <w:rPr>
          <w:rFonts w:cs="Calibri" w:ascii="Calibri" w:hAnsi="Calibri" w:asciiTheme="minorHAnsi" w:cstheme="minorHAnsi" w:hAnsiTheme="minorHAnsi"/>
          <w:bCs/>
          <w:color w:val="000000" w:themeColor="text1"/>
          <w:sz w:val="24"/>
          <w:szCs w:val="24"/>
        </w:rPr>
        <w:t>10</w:t>
      </w:r>
      <w:r>
        <w:rPr>
          <w:rFonts w:cs="Calibri" w:ascii="Calibri" w:hAnsi="Calibri" w:asciiTheme="minorHAnsi" w:cstheme="minorHAnsi" w:hAnsiTheme="minorHAnsi"/>
          <w:bCs/>
          <w:color w:val="000000"/>
          <w:sz w:val="24"/>
          <w:szCs w:val="24"/>
        </w:rPr>
        <w:t xml:space="preserve"> dias (uteis), a contar da notificação da contratada, às suas custas, sem prejuízo da aplicação das penalidades.</w:t>
      </w:r>
    </w:p>
    <w:p>
      <w:pPr>
        <w:pStyle w:val="ListParagraph"/>
        <w:numPr>
          <w:ilvl w:val="1"/>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bCs/>
          <w:color w:val="000000"/>
          <w:sz w:val="24"/>
          <w:szCs w:val="24"/>
        </w:rPr>
        <w:t xml:space="preserve"> </w:t>
      </w:r>
      <w:r>
        <w:rPr>
          <w:rFonts w:cs="Calibri" w:ascii="Calibri" w:hAnsi="Calibri" w:asciiTheme="minorHAnsi" w:cstheme="minorHAnsi" w:hAnsiTheme="minorHAnsi"/>
          <w:color w:val="000000"/>
          <w:sz w:val="24"/>
          <w:szCs w:val="24"/>
        </w:rPr>
        <w:tab/>
        <w:t>Os bens serão recebidos definitivamente no prazo de 20 dias, contados do recebimento provisório, após a verificação da qualidade e quantidade do material e consequente aceitação mediante termo circunstanciado.</w:t>
      </w:r>
    </w:p>
    <w:p>
      <w:pPr>
        <w:pStyle w:val="ListParagraph"/>
        <w:numPr>
          <w:ilvl w:val="1"/>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lang w:eastAsia="en-US"/>
        </w:rPr>
        <w:tab/>
        <w:t>Na hipótese de a verificação a que se refere o subitem anterior não ser procedida dentro do prazo fixado, reputar-se-á como realizada, consumando-se o recebimento definitivo no dia do esgotamento do prazo.</w:t>
      </w:r>
    </w:p>
    <w:p>
      <w:pPr>
        <w:pStyle w:val="ListParagraph"/>
        <w:numPr>
          <w:ilvl w:val="1"/>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lang w:eastAsia="en-US"/>
        </w:rPr>
        <w:t xml:space="preserve"> </w:t>
      </w:r>
      <w:r>
        <w:rPr>
          <w:rFonts w:cs="Calibri" w:ascii="Calibri" w:hAnsi="Calibri" w:asciiTheme="minorHAnsi" w:cstheme="minorHAnsi" w:hAnsiTheme="minorHAnsi"/>
          <w:color w:val="000000"/>
          <w:sz w:val="24"/>
          <w:szCs w:val="24"/>
          <w:lang w:eastAsia="en-US"/>
        </w:rPr>
        <w:tab/>
        <w:t>O recebimento provisório ou definitivo do objeto não exclui a responsabilidade da contratada pelos prejuízos resultantes da incorreta execução do contrato.</w:t>
      </w:r>
    </w:p>
    <w:p>
      <w:pPr>
        <w:pStyle w:val="ListParagraph"/>
        <w:numPr>
          <w:ilvl w:val="1"/>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lang w:eastAsia="en-US"/>
        </w:rPr>
        <w:t xml:space="preserve"> </w:t>
      </w:r>
      <w:r>
        <w:rPr>
          <w:rFonts w:cs="Calibri" w:ascii="Calibri" w:hAnsi="Calibri" w:asciiTheme="minorHAnsi" w:cstheme="minorHAnsi" w:hAnsiTheme="minorHAnsi"/>
          <w:color w:val="000000"/>
          <w:sz w:val="24"/>
          <w:szCs w:val="24"/>
        </w:rPr>
        <w:tab/>
        <w:t>O prazo de validade do produto na data da entrega não poderá ser inferior a 1 (um) ano, ou a 2/3 (dois terços) do prazo total recomendado pelo fabricante (meses ou anos).</w:t>
      </w:r>
    </w:p>
    <w:p>
      <w:pPr>
        <w:pStyle w:val="ListParagraph"/>
        <w:numPr>
          <w:ilvl w:val="0"/>
          <w:numId w:val="0"/>
        </w:numPr>
        <w:spacing w:lineRule="auto" w:line="240" w:before="0" w:after="0"/>
        <w:ind w:left="644" w:hanging="0"/>
        <w:contextualSpacing/>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ListParagraph"/>
        <w:numPr>
          <w:ilvl w:val="0"/>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 </w:t>
      </w:r>
      <w:r>
        <w:rPr>
          <w:rFonts w:ascii="Calibri" w:hAnsi="Calibri"/>
          <w:color w:val="000000"/>
          <w:sz w:val="24"/>
          <w:szCs w:val="24"/>
          <w:lang w:eastAsia="en-US"/>
        </w:rPr>
        <w:t>OBRIGAÇÕES DA CONTRATANTE</w:t>
      </w:r>
    </w:p>
    <w:p>
      <w:pPr>
        <w:pStyle w:val="ListParagraph"/>
        <w:numPr>
          <w:ilvl w:val="1"/>
          <w:numId w:val="3"/>
        </w:numPr>
        <w:spacing w:lineRule="auto" w:line="240" w:before="0" w:after="0"/>
        <w:contextualSpacing/>
        <w:jc w:val="both"/>
        <w:rPr>
          <w:rFonts w:ascii="Calibri" w:hAnsi="Calibri"/>
          <w:color w:val="000000"/>
          <w:sz w:val="24"/>
          <w:szCs w:val="24"/>
        </w:rPr>
      </w:pPr>
      <w:r>
        <w:rPr>
          <w:rFonts w:ascii="Calibri" w:hAnsi="Calibri"/>
          <w:color w:val="000000"/>
          <w:sz w:val="24"/>
          <w:szCs w:val="24"/>
          <w:lang w:eastAsia="en-US"/>
        </w:rPr>
        <w:t xml:space="preserve"> </w:t>
      </w:r>
      <w:r>
        <w:rPr>
          <w:rFonts w:cs="Arial" w:ascii="Calibri" w:hAnsi="Calibri"/>
          <w:color w:val="000000"/>
          <w:sz w:val="24"/>
          <w:szCs w:val="24"/>
        </w:rPr>
        <w:t>São obrigações da Contratante:</w:t>
      </w:r>
    </w:p>
    <w:p>
      <w:pPr>
        <w:pStyle w:val="ListParagraph"/>
        <w:numPr>
          <w:ilvl w:val="2"/>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receber o objeto no prazo e condições estabelecidas no Edital e seus anexos;</w:t>
      </w:r>
    </w:p>
    <w:p>
      <w:pPr>
        <w:pStyle w:val="ListParagraph"/>
        <w:numPr>
          <w:ilvl w:val="2"/>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verificar minuciosamente, no prazo fixado, a conformidade dos bens recebidos provisoriamente com as especificações constantes do Edital e da proposta, para fins de aceitação e recebimento definitivo;</w:t>
      </w:r>
    </w:p>
    <w:p>
      <w:pPr>
        <w:pStyle w:val="ListParagraph"/>
        <w:numPr>
          <w:ilvl w:val="2"/>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comunicar à Contratada, por escrito, sobre imperfeições, falhas ou irregularidades verificadas no objeto fornecido, para que seja substituído, reparado ou corrigido;</w:t>
      </w:r>
    </w:p>
    <w:p>
      <w:pPr>
        <w:pStyle w:val="ListParagraph"/>
        <w:numPr>
          <w:ilvl w:val="2"/>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acompanhar e fiscalizar o cumprimento das obrigações da Contratada, através de comissão/servidor especialmente designado;</w:t>
      </w:r>
    </w:p>
    <w:p>
      <w:pPr>
        <w:pStyle w:val="ListParagraph"/>
        <w:numPr>
          <w:ilvl w:val="2"/>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efetuar o pagamento à Contratada</w:t>
      </w:r>
      <w:r>
        <w:rPr>
          <w:rFonts w:cs="Arial" w:ascii="Calibri" w:hAnsi="Calibri"/>
          <w:b/>
          <w:color w:val="000000"/>
          <w:sz w:val="24"/>
          <w:szCs w:val="24"/>
        </w:rPr>
        <w:t xml:space="preserve"> </w:t>
      </w:r>
      <w:r>
        <w:rPr>
          <w:rFonts w:cs="Arial" w:ascii="Calibri" w:hAnsi="Calibri"/>
          <w:color w:val="000000"/>
          <w:sz w:val="24"/>
          <w:szCs w:val="24"/>
        </w:rPr>
        <w:t>no valor correspondente ao fornecimento do objeto, no prazo e forma estabelecidos no Edital e seus anexos;</w:t>
      </w:r>
    </w:p>
    <w:p>
      <w:pPr>
        <w:pStyle w:val="ListParagraph"/>
        <w:numPr>
          <w:ilvl w:val="2"/>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Seguir o estabelecido pelo convênio CONFAZ 87/02, </w:t>
      </w:r>
      <w:r>
        <w:rPr>
          <w:rFonts w:cs="Calibri" w:ascii="Calibri" w:hAnsi="Calibri" w:asciiTheme="minorHAnsi" w:cstheme="minorHAnsi" w:hAnsiTheme="minorHAnsi"/>
          <w:color w:val="000000"/>
          <w:sz w:val="24"/>
          <w:szCs w:val="24"/>
          <w:shd w:fill="FFFFFF" w:val="clear"/>
        </w:rPr>
        <w:t xml:space="preserve">concedendo isenção do ICMS nas operações com fármacos e medicamentos destinados a órgãos da Administração Pública Direta Federal, Estadual e Municipal. </w:t>
      </w:r>
    </w:p>
    <w:p>
      <w:pPr>
        <w:pStyle w:val="ListParagraph"/>
        <w:numPr>
          <w:ilvl w:val="2"/>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shd w:fill="FFFFFF" w:val="clear"/>
        </w:rPr>
        <w:t>Cláusula primeira: fica isentas do ICMS as operações realizadas com os fármacos e medicamentos relacionados no Anexo Único deste convênio destinados a órgãos da Administração Pública Direta e Indireta Federal, Estadual e Municipal e a suas fundações públicas.</w:t>
      </w:r>
    </w:p>
    <w:p>
      <w:pPr>
        <w:pStyle w:val="ListParagraph"/>
        <w:numPr>
          <w:ilvl w:val="2"/>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shd w:fill="FFFFFF" w:val="clear"/>
        </w:rPr>
        <w:t xml:space="preserve"> </w:t>
      </w:r>
      <w:r>
        <w:rPr>
          <w:rFonts w:cs="Calibri" w:ascii="Calibri" w:hAnsi="Calibri" w:asciiTheme="minorHAnsi" w:cstheme="minorHAnsi" w:hAnsiTheme="minorHAnsi"/>
          <w:color w:val="000000"/>
          <w:sz w:val="24"/>
          <w:szCs w:val="24"/>
        </w:rPr>
        <w:t>§ 1º A isenção prevista nesta cláusula fica condicionada a que: I - os fármacos e medicamentos estejam beneficiados com isenção ou alíquota zero dos Impostos de Importação ou sobre Produtos Industrializados; II - a parcela relativa à receita bruta decorrente das operações previstas nesta cláusula esteja desonerada das contribuições do PIS/PASEP e COFINS;</w:t>
      </w:r>
    </w:p>
    <w:p>
      <w:pPr>
        <w:pStyle w:val="ListParagraph"/>
        <w:numPr>
          <w:ilvl w:val="2"/>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shd w:fill="FFFFFF" w:val="clear"/>
        </w:rPr>
        <w:t>§ 6º O valor correspondente à isenção do ICMS deverá ser deduzido do preço dos respectivos produtos, devendo o contribuinte demonstrar a dedução, expressamente, nas propostas do processo licitatório e nos documentos fiscais.</w:t>
      </w:r>
    </w:p>
    <w:p>
      <w:pPr>
        <w:pStyle w:val="ListParagraph"/>
        <w:numPr>
          <w:ilvl w:val="2"/>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shd w:fill="FFFFFF" w:val="clear"/>
        </w:rPr>
        <w:t xml:space="preserve">Itens que deverão conter </w:t>
      </w:r>
      <w:r>
        <w:rPr>
          <w:rFonts w:cs="Calibri" w:ascii="Calibri" w:hAnsi="Calibri" w:asciiTheme="minorHAnsi" w:cstheme="minorHAnsi" w:hAnsiTheme="minorHAnsi"/>
          <w:color w:val="000000"/>
          <w:sz w:val="24"/>
          <w:szCs w:val="24"/>
        </w:rPr>
        <w:t>a desoneração do ICMS (</w:t>
      </w:r>
      <w:r>
        <w:rPr>
          <w:rFonts w:cs="Calibri" w:ascii="Calibri" w:hAnsi="Calibri" w:asciiTheme="minorHAnsi" w:cstheme="minorHAnsi" w:hAnsiTheme="minorHAnsi"/>
          <w:color w:val="000000"/>
          <w:sz w:val="24"/>
          <w:szCs w:val="24"/>
          <w:shd w:fill="FFFFFF" w:val="clear"/>
        </w:rPr>
        <w:t>isenção do ICMS nas operações com fármacos e medicamentos destinados a órgãos da Administração Pública Direta Federal, Estadual e Municipal</w:t>
      </w:r>
      <w:r>
        <w:rPr>
          <w:rFonts w:cs="Calibri" w:ascii="Calibri" w:hAnsi="Calibri" w:asciiTheme="minorHAnsi" w:cstheme="minorHAnsi" w:hAnsiTheme="minorHAnsi"/>
          <w:color w:val="000000"/>
          <w:sz w:val="24"/>
          <w:szCs w:val="24"/>
        </w:rPr>
        <w:t>) conforme medicamentos constantes na lista do Convênio CONFAZ 87/02: 4, 5, 6, 7, 8, 10, 11, 17, 20, 21, 22, 25, 26, 33, 49, 52, 54, 55, 61, 63, 70, 71, 76, 80, 84, 91, 92, 93, 94, 95, 96, 97, 98, 99, 100, 106, 118, 119 e 121.</w:t>
      </w:r>
    </w:p>
    <w:p>
      <w:pPr>
        <w:pStyle w:val="ListParagraph"/>
        <w:numPr>
          <w:ilvl w:val="1"/>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 </w:t>
      </w:r>
      <w:r>
        <w:rPr>
          <w:rFonts w:cs="Arial" w:ascii="Calibri" w:hAnsi="Calibri"/>
          <w:color w:val="000000"/>
          <w:sz w:val="24"/>
          <w:szCs w:val="24"/>
        </w:rPr>
        <w:tab/>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pPr>
        <w:pStyle w:val="ListParagraph"/>
        <w:numPr>
          <w:ilvl w:val="0"/>
          <w:numId w:val="0"/>
        </w:numPr>
        <w:spacing w:lineRule="auto" w:line="240" w:before="0" w:after="0"/>
        <w:ind w:left="644" w:hanging="0"/>
        <w:contextualSpacing/>
        <w:jc w:val="both"/>
        <w:rPr>
          <w:rFonts w:ascii="Calibri" w:hAnsi="Calibri" w:cs="Arial"/>
          <w:color w:val="000000"/>
          <w:sz w:val="24"/>
          <w:szCs w:val="24"/>
        </w:rPr>
      </w:pPr>
      <w:r>
        <w:rPr>
          <w:rFonts w:cs="Arial" w:ascii="Calibri" w:hAnsi="Calibri"/>
          <w:color w:val="000000"/>
          <w:sz w:val="24"/>
          <w:szCs w:val="24"/>
        </w:rPr>
      </w:r>
    </w:p>
    <w:p>
      <w:pPr>
        <w:pStyle w:val="ListParagraph"/>
        <w:numPr>
          <w:ilvl w:val="0"/>
          <w:numId w:val="3"/>
        </w:numPr>
        <w:spacing w:lineRule="auto" w:line="240" w:before="0" w:after="0"/>
        <w:contextualSpacing/>
        <w:jc w:val="both"/>
        <w:rPr>
          <w:rFonts w:ascii="Calibri" w:hAnsi="Calibri"/>
          <w:color w:val="000000"/>
          <w:sz w:val="24"/>
          <w:szCs w:val="24"/>
        </w:rPr>
      </w:pPr>
      <w:r>
        <w:rPr>
          <w:rFonts w:ascii="Calibri" w:hAnsi="Calibri"/>
          <w:color w:val="000000"/>
          <w:sz w:val="24"/>
          <w:szCs w:val="24"/>
        </w:rPr>
        <w:t xml:space="preserve"> </w:t>
      </w:r>
      <w:r>
        <w:rPr>
          <w:rFonts w:ascii="Calibri" w:hAnsi="Calibri"/>
          <w:color w:val="000000"/>
          <w:sz w:val="24"/>
          <w:szCs w:val="24"/>
        </w:rPr>
        <w:t>OBRIGAÇÕES DA CONTRATADA</w:t>
      </w:r>
    </w:p>
    <w:p>
      <w:pPr>
        <w:pStyle w:val="ListParagraph"/>
        <w:numPr>
          <w:ilvl w:val="1"/>
          <w:numId w:val="3"/>
        </w:numPr>
        <w:spacing w:lineRule="auto" w:line="240" w:before="0" w:after="0"/>
        <w:contextualSpacing/>
        <w:jc w:val="both"/>
        <w:rPr>
          <w:rFonts w:ascii="Calibri" w:hAnsi="Calibri"/>
          <w:color w:val="000000"/>
          <w:sz w:val="24"/>
          <w:szCs w:val="24"/>
        </w:rPr>
      </w:pPr>
      <w:r>
        <w:rPr>
          <w:rFonts w:ascii="Calibri" w:hAnsi="Calibri"/>
          <w:color w:val="000000"/>
          <w:sz w:val="24"/>
          <w:szCs w:val="24"/>
        </w:rPr>
        <w:t xml:space="preserve"> </w:t>
      </w:r>
      <w:r>
        <w:rPr>
          <w:rFonts w:cs="Arial" w:ascii="Calibri" w:hAnsi="Calibri"/>
          <w:color w:val="000000"/>
          <w:sz w:val="24"/>
          <w:szCs w:val="24"/>
        </w:rPr>
        <w:t>A Contratada deve cumprir todas as obrigações constantes no Edital, seus anexos e sua proposta, assumindo como exclusivamente seus os riscos e as despesas decorrentes da boa e perfeita execução do objeto e, ainda:</w:t>
      </w:r>
    </w:p>
    <w:p>
      <w:pPr>
        <w:pStyle w:val="ListParagraph"/>
        <w:numPr>
          <w:ilvl w:val="2"/>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themeColor="text1"/>
          <w:sz w:val="24"/>
          <w:szCs w:val="24"/>
        </w:rPr>
        <w:t>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pPr>
        <w:pStyle w:val="ListParagraph"/>
        <w:numPr>
          <w:ilvl w:val="2"/>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themeColor="text1"/>
          <w:sz w:val="24"/>
          <w:szCs w:val="24"/>
        </w:rPr>
        <w:t>O prazo de garantia é aquele estabelecida pelo fabricante do produto, devendo ser seguida os critérios de distribuição, armazenagem e de transporte de Medicamentos da bula dos medicamentos e conforme estabelecido na RESOLUÇÃO (RDC) nº 304, DE 17 DE SETEMBRO DE 2019, da Agência de Vigilância Sanitária (ANVISA), que dispõe sobre as Boas Práticas de Distribuição, Armazenagem e de Transporte de Medicamentos.</w:t>
      </w:r>
    </w:p>
    <w:p>
      <w:pPr>
        <w:pStyle w:val="ListParagraph"/>
        <w:numPr>
          <w:ilvl w:val="2"/>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O prazo de validade do produto na data da entrega não poderá ser inferior a 1 (um) ano, ou a 2/3 (dois terços) do prazo total recomendado pelo fabricante (meses ou anos).</w:t>
      </w:r>
    </w:p>
    <w:p>
      <w:pPr>
        <w:pStyle w:val="ListParagraph"/>
        <w:numPr>
          <w:ilvl w:val="2"/>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responsabilizar-se pelos vícios e danos decorrentes do objeto, de acordo com os artigos 12, 13 e 17 a 27, do Código de Defesa do Consumidor (Lei nº 8.078, de 1990);</w:t>
      </w:r>
    </w:p>
    <w:p>
      <w:pPr>
        <w:pStyle w:val="ListParagraph"/>
        <w:numPr>
          <w:ilvl w:val="2"/>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substituir, reparar ou corrigir, às suas expensas, no prazo fixado neste Termo de Referência, o objeto com avarias ou defeitos;</w:t>
      </w:r>
    </w:p>
    <w:p>
      <w:pPr>
        <w:pStyle w:val="ListParagraph"/>
        <w:numPr>
          <w:ilvl w:val="2"/>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comunicar à Contratante, no prazo máximo de 24 (vinte e quatro) horas que antecede a data da entrega, os motivos que impossibilitem o cumprimento do prazo previsto, com a devida comprovação;</w:t>
      </w:r>
    </w:p>
    <w:p>
      <w:pPr>
        <w:pStyle w:val="ListParagraph"/>
        <w:numPr>
          <w:ilvl w:val="2"/>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manter, durante toda a execução do contrato, em compatibilidade com as obrigações assumidas, todas as condições de habilitação e qualificação exigidas na licitação;</w:t>
      </w:r>
    </w:p>
    <w:p>
      <w:pPr>
        <w:pStyle w:val="ListParagraph"/>
        <w:numPr>
          <w:ilvl w:val="2"/>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indicar preposto para representá-la durante a execução do contrato.</w:t>
      </w:r>
    </w:p>
    <w:p>
      <w:pPr>
        <w:pStyle w:val="ListParagraph"/>
        <w:numPr>
          <w:ilvl w:val="2"/>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promover a destinação final ambientalmente adequada, sempre que a legislação assim o exigir.</w:t>
      </w:r>
    </w:p>
    <w:p>
      <w:pPr>
        <w:pStyle w:val="ListParagraph"/>
        <w:numPr>
          <w:ilvl w:val="1"/>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iCs/>
          <w:color w:val="000000"/>
          <w:sz w:val="24"/>
          <w:szCs w:val="24"/>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w:t>
      </w:r>
    </w:p>
    <w:p>
      <w:pPr>
        <w:pStyle w:val="ListParagraph"/>
        <w:numPr>
          <w:ilvl w:val="0"/>
          <w:numId w:val="0"/>
        </w:numPr>
        <w:spacing w:lineRule="auto" w:line="240" w:before="0" w:after="0"/>
        <w:ind w:left="644" w:hanging="0"/>
        <w:contextualSpacing/>
        <w:jc w:val="both"/>
        <w:rPr>
          <w:rFonts w:ascii="Calibri" w:hAnsi="Calibri" w:cs="Calibri" w:asciiTheme="minorHAnsi" w:cstheme="minorHAnsi" w:hAnsiTheme="minorHAnsi"/>
          <w:iCs/>
          <w:color w:val="000000"/>
          <w:sz w:val="24"/>
          <w:szCs w:val="24"/>
        </w:rPr>
      </w:pPr>
      <w:r>
        <w:rPr>
          <w:rFonts w:cs="Calibri" w:cstheme="minorHAnsi" w:ascii="Calibri" w:hAnsi="Calibri"/>
          <w:iCs/>
          <w:color w:val="000000"/>
          <w:sz w:val="24"/>
          <w:szCs w:val="24"/>
        </w:rPr>
      </w:r>
    </w:p>
    <w:p>
      <w:pPr>
        <w:pStyle w:val="ListParagraph"/>
        <w:numPr>
          <w:ilvl w:val="0"/>
          <w:numId w:val="3"/>
        </w:numPr>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iCs/>
          <w:color w:val="000000"/>
          <w:sz w:val="24"/>
          <w:szCs w:val="24"/>
        </w:rPr>
        <w:t xml:space="preserve"> </w:t>
      </w:r>
      <w:r>
        <w:rPr>
          <w:rFonts w:ascii="Calibri" w:hAnsi="Calibri"/>
          <w:color w:val="000000"/>
          <w:sz w:val="24"/>
          <w:szCs w:val="24"/>
        </w:rPr>
        <w:t>DA SUBCONTRATAÇÃO</w:t>
      </w:r>
    </w:p>
    <w:p>
      <w:pPr>
        <w:pStyle w:val="ListParagraph"/>
        <w:numPr>
          <w:ilvl w:val="1"/>
          <w:numId w:val="3"/>
        </w:numPr>
        <w:spacing w:lineRule="auto" w:line="240" w:before="0" w:after="0"/>
        <w:contextualSpacing/>
        <w:jc w:val="both"/>
        <w:rPr>
          <w:rFonts w:ascii="Calibri" w:hAnsi="Calibri"/>
          <w:color w:val="000000"/>
          <w:sz w:val="24"/>
          <w:szCs w:val="24"/>
        </w:rPr>
      </w:pPr>
      <w:r>
        <w:rPr>
          <w:rFonts w:ascii="Calibri" w:hAnsi="Calibri"/>
          <w:color w:val="000000"/>
          <w:sz w:val="24"/>
          <w:szCs w:val="24"/>
        </w:rPr>
        <w:t xml:space="preserve"> </w:t>
      </w:r>
      <w:r>
        <w:rPr>
          <w:rFonts w:cs="Arial" w:ascii="Calibri" w:hAnsi="Calibri"/>
          <w:iCs/>
          <w:color w:val="000000" w:themeColor="text1"/>
          <w:sz w:val="24"/>
          <w:szCs w:val="24"/>
        </w:rPr>
        <w:t xml:space="preserve">Não </w:t>
      </w:r>
      <w:r>
        <w:rPr>
          <w:rFonts w:ascii="Calibri" w:hAnsi="Calibri"/>
          <w:iCs/>
          <w:color w:val="000000" w:themeColor="text1"/>
          <w:sz w:val="24"/>
          <w:szCs w:val="24"/>
        </w:rPr>
        <w:t>será</w:t>
      </w:r>
      <w:r>
        <w:rPr>
          <w:rFonts w:cs="Arial" w:ascii="Calibri" w:hAnsi="Calibri"/>
          <w:iCs/>
          <w:color w:val="000000" w:themeColor="text1"/>
          <w:sz w:val="24"/>
          <w:szCs w:val="24"/>
        </w:rPr>
        <w:t xml:space="preserve"> admitida a subcontratação do objeto licitatório.</w:t>
      </w:r>
    </w:p>
    <w:p>
      <w:pPr>
        <w:pStyle w:val="ListParagraph"/>
        <w:spacing w:lineRule="auto" w:line="240" w:before="0" w:after="0"/>
        <w:contextualSpacing/>
        <w:jc w:val="both"/>
        <w:rPr>
          <w:rFonts w:ascii="Calibri" w:hAnsi="Calibri" w:cs="Arial"/>
          <w:iCs/>
          <w:color w:val="000000" w:themeColor="text1"/>
          <w:sz w:val="24"/>
          <w:szCs w:val="24"/>
        </w:rPr>
      </w:pPr>
      <w:r>
        <w:rPr>
          <w:rFonts w:cs="Arial" w:ascii="Calibri" w:hAnsi="Calibri"/>
          <w:iCs/>
          <w:color w:val="000000" w:themeColor="text1"/>
          <w:sz w:val="24"/>
          <w:szCs w:val="24"/>
        </w:rPr>
      </w:r>
    </w:p>
    <w:p>
      <w:pPr>
        <w:pStyle w:val="ListParagraph"/>
        <w:numPr>
          <w:ilvl w:val="0"/>
          <w:numId w:val="3"/>
        </w:numPr>
        <w:spacing w:lineRule="auto" w:line="240" w:before="0" w:after="0"/>
        <w:contextualSpacing/>
        <w:jc w:val="both"/>
        <w:rPr>
          <w:rFonts w:ascii="Calibri" w:hAnsi="Calibri"/>
          <w:color w:val="000000"/>
          <w:sz w:val="24"/>
          <w:szCs w:val="24"/>
        </w:rPr>
      </w:pPr>
      <w:r>
        <w:rPr>
          <w:rFonts w:cs="Arial" w:ascii="Calibri" w:hAnsi="Calibri"/>
          <w:iCs/>
          <w:color w:val="000000" w:themeColor="text1"/>
          <w:sz w:val="24"/>
          <w:szCs w:val="24"/>
        </w:rPr>
        <w:t xml:space="preserve"> </w:t>
      </w:r>
      <w:r>
        <w:rPr>
          <w:rFonts w:ascii="Calibri" w:hAnsi="Calibri"/>
          <w:color w:val="000000"/>
          <w:sz w:val="24"/>
          <w:szCs w:val="24"/>
          <w:lang w:eastAsia="en-US"/>
        </w:rPr>
        <w:t>DA ALTERAÇÃO SUBJETIVA</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pPr>
        <w:pStyle w:val="ListParagraph"/>
        <w:numPr>
          <w:ilvl w:val="0"/>
          <w:numId w:val="0"/>
        </w:numPr>
        <w:spacing w:lineRule="auto" w:line="240" w:before="0" w:after="0"/>
        <w:ind w:left="644" w:hanging="0"/>
        <w:contextualSpacing/>
        <w:jc w:val="both"/>
        <w:rPr>
          <w:rFonts w:ascii="Calibri" w:hAnsi="Calibri" w:cs="Arial"/>
          <w:color w:val="000000"/>
          <w:sz w:val="24"/>
          <w:szCs w:val="24"/>
          <w:lang w:eastAsia="en-US"/>
        </w:rPr>
      </w:pPr>
      <w:r>
        <w:rPr>
          <w:rFonts w:cs="Arial" w:ascii="Calibri" w:hAnsi="Calibri"/>
          <w:color w:val="000000"/>
          <w:sz w:val="24"/>
          <w:szCs w:val="24"/>
          <w:lang w:eastAsia="en-US"/>
        </w:rPr>
      </w:r>
    </w:p>
    <w:p>
      <w:pPr>
        <w:pStyle w:val="ListParagraph"/>
        <w:numPr>
          <w:ilvl w:val="0"/>
          <w:numId w:val="3"/>
        </w:numPr>
        <w:spacing w:lineRule="auto" w:line="240" w:before="0" w:after="0"/>
        <w:contextualSpacing/>
        <w:jc w:val="both"/>
        <w:rPr>
          <w:rFonts w:ascii="Calibri" w:hAnsi="Calibri"/>
          <w:color w:val="000000"/>
          <w:sz w:val="24"/>
          <w:szCs w:val="24"/>
        </w:rPr>
      </w:pPr>
      <w:r>
        <w:rPr>
          <w:rFonts w:ascii="Calibri" w:hAnsi="Calibri"/>
          <w:color w:val="000000"/>
          <w:sz w:val="24"/>
          <w:szCs w:val="24"/>
          <w:lang w:eastAsia="en-US"/>
        </w:rPr>
        <w:t>DO CONTROLE E FISCALIZAÇÃO DA EXECUÇÃO</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pPr>
        <w:pStyle w:val="ListParagraph"/>
        <w:numPr>
          <w:ilvl w:val="2"/>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O recebimento de material de valor superior a R$ 176.000,00 (cento e setenta e seis mil reais) será confiado a uma comissão de, no mínimo, 3 (três) membros, designados pela autoridade competente.</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ListParagraph"/>
        <w:numPr>
          <w:ilvl w:val="0"/>
          <w:numId w:val="0"/>
        </w:numPr>
        <w:spacing w:lineRule="auto" w:line="240" w:before="0" w:after="0"/>
        <w:ind w:left="644" w:hanging="0"/>
        <w:contextualSpacing/>
        <w:jc w:val="both"/>
        <w:rPr>
          <w:rFonts w:ascii="Calibri" w:hAnsi="Calibri" w:cs="Arial"/>
          <w:color w:val="000000"/>
          <w:sz w:val="24"/>
          <w:szCs w:val="24"/>
          <w:lang w:eastAsia="en-US"/>
        </w:rPr>
      </w:pPr>
      <w:r>
        <w:rPr>
          <w:rFonts w:cs="Arial" w:ascii="Calibri" w:hAnsi="Calibri"/>
          <w:color w:val="000000"/>
          <w:sz w:val="24"/>
          <w:szCs w:val="24"/>
          <w:lang w:eastAsia="en-US"/>
        </w:rPr>
      </w:r>
    </w:p>
    <w:p>
      <w:pPr>
        <w:pStyle w:val="ListParagraph"/>
        <w:numPr>
          <w:ilvl w:val="0"/>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 xml:space="preserve"> </w:t>
      </w:r>
      <w:r>
        <w:rPr>
          <w:rFonts w:ascii="Calibri" w:hAnsi="Calibri"/>
          <w:color w:val="000000"/>
          <w:sz w:val="24"/>
          <w:szCs w:val="24"/>
        </w:rPr>
        <w:t>DO PAGAMENTO</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 xml:space="preserve">O pagamento será realizado no prazo máximo de até 15 dias (uteis), contados a partir </w:t>
      </w:r>
      <w:r>
        <w:rPr>
          <w:rFonts w:cs="Arial" w:ascii="Calibri" w:hAnsi="Calibri"/>
          <w:color w:val="000000"/>
          <w:sz w:val="24"/>
          <w:szCs w:val="24"/>
        </w:rPr>
        <w:t xml:space="preserve">do recebimento da Nota Fiscal ou Fatura, </w:t>
      </w:r>
      <w:r>
        <w:rPr>
          <w:rFonts w:cs="Arial" w:ascii="Calibri" w:hAnsi="Calibri"/>
          <w:color w:val="000000"/>
          <w:sz w:val="24"/>
          <w:szCs w:val="24"/>
          <w:lang w:eastAsia="en-US"/>
        </w:rPr>
        <w:t>através de ordem bancária, para crédito em banco, agência e conta corrente indicados pelo contratado.</w:t>
      </w:r>
    </w:p>
    <w:p>
      <w:pPr>
        <w:pStyle w:val="ListParagraph"/>
        <w:numPr>
          <w:ilvl w:val="2"/>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 xml:space="preserve">Os pagamentos decorrentes de despesas cujos valores não ultrapassem o limite </w:t>
      </w:r>
      <w:r>
        <w:rPr>
          <w:rFonts w:cs="Arial" w:ascii="Calibri" w:hAnsi="Calibri"/>
          <w:color w:val="000000"/>
          <w:sz w:val="24"/>
          <w:szCs w:val="24"/>
        </w:rPr>
        <w:t>de que trata o inciso II do art. 24</w:t>
      </w:r>
      <w:r>
        <w:rPr>
          <w:rFonts w:cs="Arial" w:ascii="Calibri" w:hAnsi="Calibri"/>
          <w:color w:val="000000"/>
          <w:sz w:val="24"/>
          <w:szCs w:val="24"/>
          <w:lang w:eastAsia="en-US"/>
        </w:rPr>
        <w:t xml:space="preserve"> da Lei 8.666, de 1993, deverão ser efetuados no prazo de até 5 (cinco) dias úteis, contados da data da apresentação da Nota Fiscal, nos termos do art. 5º, § 3º, da Lei nº 8.666, de 1993.</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Considera-se ocorrido o recebimento da nota fiscal ou fatura quando o órgão contratante atestar a execução do objeto do contrato.</w:t>
      </w:r>
    </w:p>
    <w:p>
      <w:pPr>
        <w:pStyle w:val="ListParagraph"/>
        <w:numPr>
          <w:ilvl w:val="1"/>
          <w:numId w:val="3"/>
        </w:numPr>
        <w:spacing w:lineRule="auto" w:line="240" w:before="0" w:after="0"/>
        <w:contextualSpacing/>
        <w:jc w:val="both"/>
        <w:rPr>
          <w:rFonts w:ascii="Calibri" w:hAnsi="Calibri"/>
          <w:color w:val="000000"/>
          <w:sz w:val="24"/>
          <w:szCs w:val="24"/>
        </w:rPr>
      </w:pPr>
      <w:r>
        <w:rPr>
          <w:rFonts w:ascii="Calibri" w:hAnsi="Calibri"/>
          <w:color w:val="000000"/>
          <w:sz w:val="24"/>
          <w:szCs w:val="24"/>
        </w:rPr>
        <w:t xml:space="preserve">A Nota Fiscal ou Fatura deverá ser obrigatoriamente acompanhada da comprovação da regularidade fiscal, constatada por meio de consulta on-line ao SICAF ou, na impossibilidade de acesso </w:t>
      </w:r>
      <w:r>
        <w:rPr>
          <w:rFonts w:cs="Arial" w:ascii="Calibri" w:hAnsi="Calibri"/>
          <w:color w:val="000000"/>
          <w:sz w:val="24"/>
          <w:szCs w:val="24"/>
          <w:lang w:eastAsia="en-US"/>
        </w:rPr>
        <w:t>ao</w:t>
      </w:r>
      <w:r>
        <w:rPr>
          <w:rFonts w:ascii="Calibri" w:hAnsi="Calibri"/>
          <w:color w:val="000000"/>
          <w:sz w:val="24"/>
          <w:szCs w:val="24"/>
        </w:rPr>
        <w:t xml:space="preserve"> referido Sistema, mediante consulta aos sítios eletrônicos oficiais ou à documentação mencionada no art. 29 da Lei nº 8.666, de 1993. </w:t>
      </w:r>
    </w:p>
    <w:p>
      <w:pPr>
        <w:pStyle w:val="ListParagraph"/>
        <w:numPr>
          <w:ilvl w:val="1"/>
          <w:numId w:val="3"/>
        </w:numPr>
        <w:spacing w:lineRule="auto" w:line="240" w:before="0" w:after="0"/>
        <w:contextualSpacing/>
        <w:jc w:val="both"/>
        <w:rPr>
          <w:rFonts w:ascii="Calibri" w:hAnsi="Calibri"/>
          <w:color w:val="000000"/>
          <w:sz w:val="24"/>
          <w:szCs w:val="24"/>
        </w:rPr>
      </w:pPr>
      <w:r>
        <w:rPr>
          <w:rFonts w:ascii="Calibri" w:hAnsi="Calibri"/>
          <w:color w:val="000000"/>
          <w:sz w:val="24"/>
          <w:szCs w:val="24"/>
        </w:rPr>
        <w:t xml:space="preserve">Constatando-se, junto ao SICAF, a situação de irregularidade do fornecedor contratado, deverão ser tomadas as providências previstas no do art. 31 da Instrução </w:t>
      </w:r>
      <w:r>
        <w:rPr>
          <w:rFonts w:cs="Arial" w:ascii="Calibri" w:hAnsi="Calibri"/>
          <w:color w:val="000000"/>
          <w:sz w:val="24"/>
          <w:szCs w:val="24"/>
          <w:lang w:eastAsia="en-US"/>
        </w:rPr>
        <w:t>Normativa</w:t>
      </w:r>
      <w:r>
        <w:rPr>
          <w:rFonts w:ascii="Calibri" w:hAnsi="Calibri"/>
          <w:color w:val="000000"/>
          <w:sz w:val="24"/>
          <w:szCs w:val="24"/>
        </w:rPr>
        <w:t xml:space="preserve"> nº 3, de 26 de abril de 2018.</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libri" w:hAnsi="Calibri"/>
          <w:color w:val="000000"/>
          <w:sz w:val="24"/>
          <w:szCs w:val="24"/>
        </w:rPr>
        <w:t>obrigação financeira pendente, decorrente de penalidade imposta ou inadimplência,</w:t>
      </w:r>
      <w:r>
        <w:rPr>
          <w:rFonts w:cs="Arial" w:ascii="Calibri" w:hAnsi="Calibri"/>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Será considerada data do pagamento o dia em que constar como emitida a ordem bancária para pagamento.</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 xml:space="preserve">Antes de cada pagamento à contratada, será realizada consulta ao SICAF para verificar a manutenção das condições de habilitação exigidas no edital. </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 xml:space="preserve">Persistindo a irregularidade, a contratante deverá adotar as medidas necessárias à rescisão contratual nos autos do processo administrativo correspondente, assegurada à contratada a ampla defesa. </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 xml:space="preserve">Havendo a efetiva execução do objeto, os pagamentos serão realizados normalmente, até que se decida pela rescisão do contrato, caso a contratada não regularize sua situação junto ao SICAF.  </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lang w:eastAsia="en-US"/>
        </w:rPr>
        <w:t>Será rescindido o contrato em execução com a contratada inadimplente no SICAF, salvo por motivo de economicidade, segurança nacional ou outro de interesse público de alta relevância, devidamente justificado, em qualquer caso, pela máxima autoridade da contratante.</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Quando do pagamento, será efetuada a retenção tributária prevista na legislação aplicável.</w:t>
      </w:r>
    </w:p>
    <w:p>
      <w:pPr>
        <w:pStyle w:val="ListParagraph"/>
        <w:numPr>
          <w:ilvl w:val="2"/>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 xml:space="preserve"> </w:t>
      </w:r>
      <w:r>
        <w:rPr>
          <w:rFonts w:cs="Arial" w:ascii="Calibri" w:hAnsi="Calibri"/>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libri" w:hAnsi="Calibri"/>
          <w:color w:val="000000"/>
          <w:sz w:val="24"/>
          <w:szCs w:val="24"/>
          <w:lang w:eastAsia="en-US"/>
        </w:rPr>
        <w:t xml:space="preserve"> </w:t>
      </w:r>
    </w:p>
    <w:p>
      <w:pPr>
        <w:pStyle w:val="ListParagraph"/>
        <w:numPr>
          <w:ilvl w:val="1"/>
          <w:numId w:val="3"/>
        </w:numPr>
        <w:spacing w:lineRule="auto" w:line="240" w:before="0" w:after="0"/>
        <w:contextualSpacing/>
        <w:jc w:val="both"/>
        <w:rPr>
          <w:rFonts w:ascii="Calibri" w:hAnsi="Calibri"/>
          <w:color w:val="000000"/>
          <w:sz w:val="24"/>
          <w:szCs w:val="24"/>
          <w:highlight w:val="none"/>
          <w:shd w:fill="auto" w:val="clear"/>
        </w:rPr>
      </w:pPr>
      <w:r>
        <w:rPr>
          <w:rFonts w:cs="Arial" w:ascii="Calibri" w:hAnsi="Calibri"/>
          <w:color w:val="000000"/>
          <w:sz w:val="24"/>
          <w:szCs w:val="24"/>
          <w:shd w:fill="auto" w:val="clear"/>
          <w:lang w:eastAsia="en-US"/>
        </w:rPr>
        <w:t>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r>
        <w:rPr>
          <w:rFonts w:cs="Arial" w:ascii="Calibri" w:hAnsi="Calibri"/>
          <w:color w:val="000000"/>
          <w:sz w:val="24"/>
          <w:szCs w:val="24"/>
          <w:shd w:fill="auto" w:val="clear"/>
        </w:rPr>
        <w:t>:</w:t>
      </w:r>
    </w:p>
    <w:p>
      <w:pPr>
        <w:pStyle w:val="ListParagraph"/>
        <w:spacing w:lineRule="auto" w:line="240" w:before="0" w:after="0"/>
        <w:contextualSpacing/>
        <w:jc w:val="both"/>
        <w:rPr>
          <w:rFonts w:ascii="Calibri" w:hAnsi="Calibri" w:cs="Arial"/>
          <w:color w:val="000000"/>
          <w:sz w:val="24"/>
          <w:szCs w:val="24"/>
          <w:highlight w:val="yellow"/>
        </w:rPr>
      </w:pPr>
      <w:r>
        <w:rPr>
          <w:rFonts w:cs="Arial" w:ascii="Calibri" w:hAnsi="Calibri"/>
          <w:color w:val="000000"/>
          <w:sz w:val="24"/>
          <w:szCs w:val="24"/>
          <w:highlight w:val="yellow"/>
        </w:rPr>
      </w:r>
    </w:p>
    <w:p>
      <w:pPr>
        <w:pStyle w:val="Normal"/>
        <w:tabs>
          <w:tab w:val="clear" w:pos="708"/>
          <w:tab w:val="left" w:pos="1701" w:leader="none"/>
        </w:tabs>
        <w:spacing w:lineRule="auto" w:line="240" w:before="0" w:after="0"/>
        <w:ind w:left="425" w:hanging="0"/>
        <w:contextualSpacing/>
        <w:jc w:val="both"/>
        <w:rPr>
          <w:rFonts w:ascii="Calibri" w:hAnsi="Calibri"/>
          <w:color w:val="000000"/>
          <w:sz w:val="24"/>
          <w:szCs w:val="24"/>
        </w:rPr>
      </w:pPr>
      <w:r>
        <w:rPr>
          <w:rFonts w:cs="Arial" w:ascii="Calibri" w:hAnsi="Calibri"/>
          <w:color w:val="000000"/>
          <w:sz w:val="24"/>
          <w:szCs w:val="24"/>
        </w:rPr>
        <w:t>EM = I x N x VP, sendo:</w:t>
      </w:r>
    </w:p>
    <w:p>
      <w:pPr>
        <w:pStyle w:val="Normal"/>
        <w:tabs>
          <w:tab w:val="clear" w:pos="708"/>
          <w:tab w:val="left" w:pos="1701" w:leader="none"/>
        </w:tabs>
        <w:spacing w:lineRule="auto" w:line="240" w:before="0" w:after="0"/>
        <w:ind w:left="425" w:hanging="0"/>
        <w:contextualSpacing/>
        <w:jc w:val="both"/>
        <w:rPr>
          <w:rFonts w:ascii="Calibri" w:hAnsi="Calibri"/>
          <w:color w:val="000000"/>
          <w:sz w:val="24"/>
          <w:szCs w:val="24"/>
        </w:rPr>
      </w:pPr>
      <w:r>
        <w:rPr>
          <w:rFonts w:cs="Arial" w:ascii="Calibri" w:hAnsi="Calibri"/>
          <w:color w:val="000000"/>
          <w:sz w:val="24"/>
          <w:szCs w:val="24"/>
        </w:rPr>
        <w:t>EM = Encargos moratórios;</w:t>
      </w:r>
    </w:p>
    <w:p>
      <w:pPr>
        <w:pStyle w:val="Normal"/>
        <w:tabs>
          <w:tab w:val="clear" w:pos="708"/>
          <w:tab w:val="left" w:pos="1701" w:leader="none"/>
        </w:tabs>
        <w:spacing w:lineRule="auto" w:line="240" w:before="0" w:after="0"/>
        <w:ind w:left="425" w:hanging="0"/>
        <w:contextualSpacing/>
        <w:jc w:val="both"/>
        <w:rPr>
          <w:rFonts w:ascii="Calibri" w:hAnsi="Calibri"/>
          <w:color w:val="000000"/>
          <w:sz w:val="24"/>
          <w:szCs w:val="24"/>
        </w:rPr>
      </w:pPr>
      <w:r>
        <w:rPr>
          <w:rFonts w:cs="Arial" w:ascii="Calibri" w:hAnsi="Calibri"/>
          <w:color w:val="000000"/>
          <w:sz w:val="24"/>
          <w:szCs w:val="24"/>
        </w:rPr>
        <w:t>N = Número de dias entre a data prevista para o pagamento e a do efetivo pagamento;</w:t>
      </w:r>
    </w:p>
    <w:p>
      <w:pPr>
        <w:pStyle w:val="Normal"/>
        <w:tabs>
          <w:tab w:val="clear" w:pos="708"/>
          <w:tab w:val="left" w:pos="1701" w:leader="none"/>
        </w:tabs>
        <w:spacing w:lineRule="auto" w:line="240" w:before="0" w:after="0"/>
        <w:ind w:left="425" w:hanging="0"/>
        <w:contextualSpacing/>
        <w:jc w:val="both"/>
        <w:rPr>
          <w:rFonts w:ascii="Calibri" w:hAnsi="Calibri"/>
          <w:color w:val="000000"/>
          <w:sz w:val="24"/>
          <w:szCs w:val="24"/>
        </w:rPr>
      </w:pPr>
      <w:r>
        <w:rPr>
          <w:rFonts w:cs="Arial" w:ascii="Calibri" w:hAnsi="Calibri"/>
          <w:color w:val="000000"/>
          <w:sz w:val="24"/>
          <w:szCs w:val="24"/>
        </w:rPr>
        <w:t>VP = Valor da parcela a ser paga.</w:t>
      </w:r>
    </w:p>
    <w:p>
      <w:pPr>
        <w:pStyle w:val="Normal"/>
        <w:tabs>
          <w:tab w:val="clear" w:pos="708"/>
          <w:tab w:val="left" w:pos="1701" w:leader="none"/>
        </w:tabs>
        <w:spacing w:lineRule="auto" w:line="240" w:before="0" w:after="0"/>
        <w:ind w:left="425" w:hanging="0"/>
        <w:contextualSpacing/>
        <w:jc w:val="both"/>
        <w:rPr>
          <w:rFonts w:ascii="Calibri" w:hAnsi="Calibri"/>
          <w:color w:val="000000"/>
          <w:sz w:val="24"/>
          <w:szCs w:val="24"/>
        </w:rPr>
      </w:pPr>
      <w:r>
        <w:rPr>
          <w:rFonts w:cs="Arial" w:ascii="Calibri" w:hAnsi="Calibri"/>
          <w:color w:val="000000"/>
          <w:sz w:val="24"/>
          <w:szCs w:val="24"/>
        </w:rPr>
        <w:t>I = Índice de compensação financeira = 0,00016438, assim apurado:</w:t>
      </w:r>
    </w:p>
    <w:tbl>
      <w:tblPr>
        <w:tblStyle w:val="Tabelacomgrade"/>
        <w:tblW w:w="8647" w:type="dxa"/>
        <w:jc w:val="left"/>
        <w:tblInd w:w="425" w:type="dxa"/>
        <w:tblLayout w:type="fixed"/>
        <w:tblCellMar>
          <w:top w:w="0" w:type="dxa"/>
          <w:left w:w="128" w:type="dxa"/>
          <w:bottom w:w="0" w:type="dxa"/>
          <w:right w:w="108" w:type="dxa"/>
        </w:tblCellMar>
        <w:tblLook w:firstRow="1" w:noVBand="1" w:lastRow="0" w:firstColumn="1" w:lastColumn="0" w:noHBand="0" w:val="04a0"/>
      </w:tblPr>
      <w:tblGrid>
        <w:gridCol w:w="2147"/>
        <w:gridCol w:w="579"/>
        <w:gridCol w:w="1248"/>
        <w:gridCol w:w="4672"/>
      </w:tblGrid>
      <w:tr>
        <w:trPr/>
        <w:tc>
          <w:tcPr>
            <w:tcW w:w="2147" w:type="dxa"/>
            <w:tcBorders>
              <w:top w:val="nil"/>
              <w:left w:val="nil"/>
              <w:bottom w:val="nil"/>
              <w:right w:val="nil"/>
            </w:tcBorders>
            <w:shd w:color="auto" w:fill="auto" w:val="clear"/>
            <w:vAlign w:val="center"/>
          </w:tcPr>
          <w:p>
            <w:pPr>
              <w:pStyle w:val="Normal"/>
              <w:widowControl w:val="false"/>
              <w:tabs>
                <w:tab w:val="clear" w:pos="708"/>
                <w:tab w:val="left" w:pos="1701" w:leader="none"/>
              </w:tabs>
              <w:suppressAutoHyphens w:val="true"/>
              <w:spacing w:lineRule="auto" w:line="240" w:before="0" w:after="0"/>
              <w:contextualSpacing/>
              <w:jc w:val="center"/>
              <w:rPr>
                <w:rFonts w:ascii="Calibri" w:hAnsi="Calibri" w:cs="Arial"/>
                <w:color w:val="000000"/>
                <w:kern w:val="0"/>
                <w:sz w:val="24"/>
                <w:szCs w:val="24"/>
                <w:lang w:val="pt-BR" w:bidi="ar-SA"/>
              </w:rPr>
            </w:pPr>
            <w:r>
              <w:rPr>
                <w:rFonts w:eastAsia="MS Mincho" w:cs="Arial" w:ascii="Calibri" w:hAnsi="Calibri"/>
                <w:color w:val="000000"/>
                <w:kern w:val="0"/>
                <w:sz w:val="24"/>
                <w:szCs w:val="24"/>
                <w:lang w:val="pt-BR" w:eastAsia="en-US" w:bidi="ar-SA"/>
              </w:rPr>
              <w:t>I = (TX)</w:t>
            </w:r>
          </w:p>
        </w:tc>
        <w:tc>
          <w:tcPr>
            <w:tcW w:w="579" w:type="dxa"/>
            <w:tcBorders>
              <w:top w:val="nil"/>
              <w:left w:val="nil"/>
              <w:bottom w:val="nil"/>
              <w:right w:val="nil"/>
            </w:tcBorders>
            <w:shd w:color="auto" w:fill="auto" w:val="clear"/>
            <w:vAlign w:val="center"/>
          </w:tcPr>
          <w:p>
            <w:pPr>
              <w:pStyle w:val="Normal"/>
              <w:widowControl w:val="false"/>
              <w:tabs>
                <w:tab w:val="clear" w:pos="708"/>
                <w:tab w:val="left" w:pos="1701" w:leader="none"/>
              </w:tabs>
              <w:suppressAutoHyphens w:val="true"/>
              <w:spacing w:lineRule="auto" w:line="240" w:before="0" w:after="0"/>
              <w:contextualSpacing/>
              <w:jc w:val="left"/>
              <w:rPr>
                <w:rFonts w:ascii="Calibri" w:hAnsi="Calibri" w:cs="Arial"/>
                <w:color w:val="000000"/>
                <w:kern w:val="0"/>
                <w:sz w:val="24"/>
                <w:szCs w:val="24"/>
                <w:lang w:val="pt-BR" w:bidi="ar-SA"/>
              </w:rPr>
            </w:pPr>
            <w:r>
              <w:rPr>
                <w:rFonts w:eastAsia="MS Mincho" w:cs="Arial" w:ascii="Calibri" w:hAnsi="Calibri"/>
                <w:color w:val="000000"/>
                <w:kern w:val="0"/>
                <w:sz w:val="24"/>
                <w:szCs w:val="24"/>
                <w:lang w:val="pt-BR" w:eastAsia="en-US" w:bidi="ar-SA"/>
              </w:rPr>
              <w:t xml:space="preserve">I = </w:t>
            </w:r>
          </w:p>
        </w:tc>
        <w:tc>
          <w:tcPr>
            <w:tcW w:w="1248" w:type="dxa"/>
            <w:tcBorders>
              <w:top w:val="nil"/>
              <w:left w:val="nil"/>
              <w:right w:val="nil"/>
            </w:tcBorders>
            <w:shd w:color="auto" w:fill="auto" w:val="clear"/>
          </w:tcPr>
          <w:p>
            <w:pPr>
              <w:pStyle w:val="Normal"/>
              <w:widowControl w:val="false"/>
              <w:tabs>
                <w:tab w:val="clear" w:pos="708"/>
                <w:tab w:val="left" w:pos="1701" w:leader="none"/>
              </w:tabs>
              <w:suppressAutoHyphens w:val="true"/>
              <w:spacing w:lineRule="auto" w:line="240" w:before="0" w:after="0"/>
              <w:contextualSpacing/>
              <w:jc w:val="center"/>
              <w:rPr>
                <w:rFonts w:ascii="Calibri" w:hAnsi="Calibri" w:cs="Arial"/>
                <w:color w:val="000000"/>
                <w:kern w:val="0"/>
                <w:sz w:val="24"/>
                <w:szCs w:val="24"/>
                <w:lang w:val="pt-BR" w:bidi="ar-SA"/>
              </w:rPr>
            </w:pPr>
            <w:r>
              <w:rPr>
                <w:rFonts w:eastAsia="MS Mincho" w:cs="Arial" w:ascii="Calibri" w:hAnsi="Calibri"/>
                <w:color w:val="000000"/>
                <w:kern w:val="0"/>
                <w:sz w:val="24"/>
                <w:szCs w:val="24"/>
                <w:lang w:val="pt-BR" w:eastAsia="en-US" w:bidi="ar-SA"/>
              </w:rPr>
              <w:t>( 6 / 100 )</w:t>
            </w:r>
          </w:p>
        </w:tc>
        <w:tc>
          <w:tcPr>
            <w:tcW w:w="4672" w:type="dxa"/>
            <w:tcBorders>
              <w:top w:val="nil"/>
              <w:left w:val="nil"/>
              <w:bottom w:val="nil"/>
              <w:right w:val="nil"/>
            </w:tcBorders>
            <w:shd w:color="auto" w:fill="auto" w:val="clear"/>
            <w:vAlign w:val="center"/>
          </w:tcPr>
          <w:p>
            <w:pPr>
              <w:pStyle w:val="Normal"/>
              <w:widowControl w:val="false"/>
              <w:tabs>
                <w:tab w:val="clear" w:pos="708"/>
                <w:tab w:val="left" w:pos="1701" w:leader="none"/>
              </w:tabs>
              <w:suppressAutoHyphens w:val="true"/>
              <w:spacing w:lineRule="auto" w:line="240" w:before="0" w:after="0"/>
              <w:ind w:left="742" w:hanging="0"/>
              <w:contextualSpacing/>
              <w:jc w:val="left"/>
              <w:rPr>
                <w:rFonts w:ascii="Calibri" w:hAnsi="Calibri" w:cs="Arial"/>
                <w:color w:val="000000"/>
                <w:kern w:val="0"/>
                <w:sz w:val="24"/>
                <w:szCs w:val="24"/>
                <w:lang w:val="pt-BR" w:bidi="ar-SA"/>
              </w:rPr>
            </w:pPr>
            <w:r>
              <w:rPr>
                <w:rFonts w:eastAsia="MS Mincho" w:cs="Arial" w:ascii="Calibri" w:hAnsi="Calibri"/>
                <w:color w:val="000000"/>
                <w:kern w:val="0"/>
                <w:sz w:val="24"/>
                <w:szCs w:val="24"/>
                <w:lang w:val="pt-BR" w:eastAsia="en-US" w:bidi="ar-SA"/>
              </w:rPr>
              <w:t>I = 0,00016438</w:t>
            </w:r>
          </w:p>
          <w:p>
            <w:pPr>
              <w:pStyle w:val="Normal"/>
              <w:widowControl w:val="false"/>
              <w:tabs>
                <w:tab w:val="clear" w:pos="708"/>
                <w:tab w:val="left" w:pos="1701" w:leader="none"/>
              </w:tabs>
              <w:suppressAutoHyphens w:val="true"/>
              <w:spacing w:lineRule="auto" w:line="240" w:before="0" w:after="0"/>
              <w:ind w:left="742" w:hanging="0"/>
              <w:contextualSpacing/>
              <w:jc w:val="left"/>
              <w:rPr>
                <w:rFonts w:ascii="Calibri" w:hAnsi="Calibri" w:cs="Arial"/>
                <w:color w:val="000000"/>
                <w:kern w:val="0"/>
                <w:sz w:val="24"/>
                <w:szCs w:val="24"/>
                <w:lang w:val="pt-BR" w:bidi="ar-SA"/>
              </w:rPr>
            </w:pPr>
            <w:r>
              <w:rPr>
                <w:rFonts w:eastAsia="MS Mincho" w:cs="Arial" w:ascii="Calibri" w:hAnsi="Calibri"/>
                <w:color w:val="000000"/>
                <w:kern w:val="0"/>
                <w:sz w:val="24"/>
                <w:szCs w:val="24"/>
                <w:lang w:val="pt-BR" w:eastAsia="en-US" w:bidi="ar-SA"/>
              </w:rPr>
              <w:t>TX = Percentual da taxa anual = 6%</w:t>
            </w:r>
          </w:p>
        </w:tc>
      </w:tr>
    </w:tbl>
    <w:p>
      <w:pPr>
        <w:pStyle w:val="Normal"/>
        <w:spacing w:lineRule="auto" w:line="240" w:before="0" w:after="0"/>
        <w:contextualSpacing/>
        <w:rPr>
          <w:rFonts w:ascii="Calibri" w:hAnsi="Calibri"/>
          <w:color w:val="000000"/>
          <w:sz w:val="24"/>
          <w:szCs w:val="24"/>
        </w:rPr>
      </w:pPr>
      <w:r>
        <w:rPr>
          <w:rFonts w:ascii="Calibri" w:hAnsi="Calibri"/>
          <w:color w:val="000000"/>
          <w:sz w:val="24"/>
          <w:szCs w:val="24"/>
        </w:rPr>
        <w:t xml:space="preserve"> </w:t>
      </w:r>
      <w:r>
        <w:rPr>
          <w:rFonts w:cs="Arial" w:ascii="Calibri" w:hAnsi="Calibri"/>
          <w:color w:val="000000"/>
          <w:sz w:val="24"/>
          <w:szCs w:val="24"/>
          <w:highlight w:val="yellow"/>
        </w:rPr>
        <w:t>365</w:t>
      </w:r>
    </w:p>
    <w:p>
      <w:pPr>
        <w:pStyle w:val="ListParagraph"/>
        <w:spacing w:lineRule="auto" w:line="240" w:before="0" w:after="0"/>
        <w:contextualSpacing/>
        <w:jc w:val="both"/>
        <w:rPr>
          <w:rFonts w:ascii="Calibri" w:hAnsi="Calibri" w:cs="Arial"/>
          <w:color w:val="000000"/>
          <w:sz w:val="24"/>
          <w:szCs w:val="24"/>
          <w:highlight w:val="yellow"/>
        </w:rPr>
      </w:pPr>
      <w:r>
        <w:rPr>
          <w:rFonts w:cs="Arial" w:ascii="Calibri" w:hAnsi="Calibri"/>
          <w:color w:val="000000"/>
          <w:sz w:val="24"/>
          <w:szCs w:val="24"/>
          <w:highlight w:val="yellow"/>
        </w:rPr>
      </w:r>
    </w:p>
    <w:p>
      <w:pPr>
        <w:pStyle w:val="ListParagraph"/>
        <w:numPr>
          <w:ilvl w:val="0"/>
          <w:numId w:val="3"/>
        </w:numPr>
        <w:spacing w:lineRule="auto" w:line="240" w:before="0" w:after="0"/>
        <w:contextualSpacing/>
        <w:jc w:val="both"/>
        <w:rPr>
          <w:rFonts w:ascii="Calibri" w:hAnsi="Calibri"/>
          <w:color w:val="000000"/>
          <w:sz w:val="24"/>
          <w:szCs w:val="24"/>
        </w:rPr>
      </w:pPr>
      <w:r>
        <w:rPr>
          <w:rFonts w:ascii="Calibri" w:hAnsi="Calibri"/>
          <w:color w:val="000000"/>
          <w:sz w:val="24"/>
          <w:szCs w:val="24"/>
        </w:rPr>
        <w:t xml:space="preserve">DO REAJUSTE </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Os preços inicialmente contratados são fixos e irreajustáveis no prazo de um ano contado da data limite para a apresentação das propostas.</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Após o interregno de um ano, e independentemente de pedido da CONTRATADA, os preços iniciais serão reajustados, mediante a aplicação, pela CONTRATANTE, do índice anual definido pela Câmara de Regulação do Mercado de Medicamentos (CMED) da Agência Nacional de Vigilância Sanitária (ANVISA)</w:t>
      </w:r>
      <w:r>
        <w:rPr>
          <w:rFonts w:cs="Arial" w:ascii="Calibri" w:hAnsi="Calibri"/>
          <w:i/>
          <w:iCs/>
          <w:color w:val="000000"/>
          <w:sz w:val="24"/>
          <w:szCs w:val="24"/>
        </w:rPr>
        <w:t>,</w:t>
      </w:r>
      <w:r>
        <w:rPr>
          <w:rFonts w:cs="Arial" w:ascii="Calibri" w:hAnsi="Calibri"/>
          <w:color w:val="000000"/>
          <w:sz w:val="24"/>
          <w:szCs w:val="24"/>
        </w:rPr>
        <w:t xml:space="preserve"> exclusivamente para as obrigações iniciadas e concluídas após a ocorrência da anualidade, com base na seguinte fórmula (art. 5º do Decreto n.º 1.054, de 1994): </w:t>
      </w:r>
    </w:p>
    <w:p>
      <w:pPr>
        <w:pStyle w:val="Normal"/>
        <w:numPr>
          <w:ilvl w:val="0"/>
          <w:numId w:val="0"/>
        </w:numPr>
        <w:spacing w:lineRule="auto" w:line="240" w:before="0" w:after="0"/>
        <w:ind w:left="1418" w:hanging="0"/>
        <w:contextualSpacing/>
        <w:jc w:val="both"/>
        <w:rPr>
          <w:rFonts w:ascii="Calibri" w:hAnsi="Calibri"/>
          <w:color w:val="000000"/>
          <w:sz w:val="24"/>
          <w:szCs w:val="24"/>
        </w:rPr>
      </w:pPr>
      <w:r>
        <w:rPr>
          <w:rFonts w:cs="Arial" w:ascii="Calibri" w:hAnsi="Calibri"/>
          <w:color w:val="000000"/>
          <w:sz w:val="24"/>
          <w:szCs w:val="24"/>
        </w:rPr>
        <w:t>R = V (I – Iº) / Iº, onde:</w:t>
      </w:r>
    </w:p>
    <w:p>
      <w:pPr>
        <w:pStyle w:val="Normal"/>
        <w:numPr>
          <w:ilvl w:val="0"/>
          <w:numId w:val="0"/>
        </w:numPr>
        <w:spacing w:lineRule="auto" w:line="240" w:before="0" w:after="0"/>
        <w:ind w:left="1418" w:hanging="0"/>
        <w:contextualSpacing/>
        <w:jc w:val="both"/>
        <w:rPr>
          <w:rFonts w:ascii="Calibri" w:hAnsi="Calibri"/>
          <w:color w:val="000000"/>
          <w:sz w:val="24"/>
          <w:szCs w:val="24"/>
        </w:rPr>
      </w:pPr>
      <w:r>
        <w:rPr>
          <w:rFonts w:cs="Arial" w:ascii="Calibri" w:hAnsi="Calibri"/>
          <w:color w:val="000000"/>
          <w:sz w:val="24"/>
          <w:szCs w:val="24"/>
        </w:rPr>
        <w:t>R = Valor do reajuste procurado;</w:t>
      </w:r>
    </w:p>
    <w:p>
      <w:pPr>
        <w:pStyle w:val="Normal"/>
        <w:numPr>
          <w:ilvl w:val="0"/>
          <w:numId w:val="0"/>
        </w:numPr>
        <w:spacing w:lineRule="auto" w:line="240" w:before="0" w:after="0"/>
        <w:ind w:left="1418" w:hanging="0"/>
        <w:contextualSpacing/>
        <w:jc w:val="both"/>
        <w:rPr>
          <w:rFonts w:ascii="Calibri" w:hAnsi="Calibri"/>
          <w:color w:val="000000"/>
          <w:sz w:val="24"/>
          <w:szCs w:val="24"/>
        </w:rPr>
      </w:pPr>
      <w:r>
        <w:rPr>
          <w:rFonts w:cs="Arial" w:ascii="Calibri" w:hAnsi="Calibri"/>
          <w:color w:val="000000"/>
          <w:sz w:val="24"/>
          <w:szCs w:val="24"/>
        </w:rPr>
        <w:t>V = Valor contratual a ser reajustado;</w:t>
      </w:r>
    </w:p>
    <w:p>
      <w:pPr>
        <w:pStyle w:val="Normal"/>
        <w:numPr>
          <w:ilvl w:val="0"/>
          <w:numId w:val="0"/>
        </w:numPr>
        <w:spacing w:lineRule="auto" w:line="240" w:before="0" w:after="0"/>
        <w:ind w:left="1418" w:hanging="0"/>
        <w:contextualSpacing/>
        <w:jc w:val="both"/>
        <w:rPr>
          <w:rFonts w:ascii="Calibri" w:hAnsi="Calibri"/>
          <w:color w:val="000000"/>
          <w:sz w:val="24"/>
          <w:szCs w:val="24"/>
        </w:rPr>
      </w:pPr>
      <w:r>
        <w:rPr>
          <w:rFonts w:cs="Arial" w:ascii="Calibri" w:hAnsi="Calibri"/>
          <w:color w:val="000000"/>
          <w:sz w:val="24"/>
          <w:szCs w:val="24"/>
        </w:rPr>
        <w:t>Iº = índice inicial - refere-se ao índice de custos ou de preços correspondente à data fixada para entrega da proposta na licitação;</w:t>
      </w:r>
    </w:p>
    <w:p>
      <w:pPr>
        <w:pStyle w:val="Normal"/>
        <w:numPr>
          <w:ilvl w:val="0"/>
          <w:numId w:val="0"/>
        </w:numPr>
        <w:spacing w:lineRule="auto" w:line="240" w:before="0" w:after="0"/>
        <w:ind w:left="644" w:hanging="0"/>
        <w:contextualSpacing/>
        <w:jc w:val="both"/>
        <w:rPr>
          <w:rFonts w:ascii="Calibri" w:hAnsi="Calibri"/>
          <w:color w:val="000000"/>
          <w:sz w:val="24"/>
          <w:szCs w:val="24"/>
        </w:rPr>
      </w:pPr>
      <w:r>
        <w:rPr>
          <w:rFonts w:cs="Arial" w:ascii="Calibri" w:hAnsi="Calibri"/>
          <w:color w:val="000000"/>
          <w:sz w:val="24"/>
          <w:szCs w:val="24"/>
        </w:rPr>
        <w:t xml:space="preserve">               </w:t>
      </w:r>
      <w:r>
        <w:rPr>
          <w:rFonts w:cs="Arial" w:ascii="Calibri" w:hAnsi="Calibri"/>
          <w:color w:val="000000"/>
          <w:sz w:val="24"/>
          <w:szCs w:val="24"/>
        </w:rPr>
        <w:t>I = Índice relativo ao mês do reajustamento;</w:t>
      </w:r>
    </w:p>
    <w:p>
      <w:pPr>
        <w:pStyle w:val="Normal"/>
        <w:numPr>
          <w:ilvl w:val="0"/>
          <w:numId w:val="0"/>
        </w:numPr>
        <w:spacing w:lineRule="auto" w:line="240" w:before="0" w:after="0"/>
        <w:ind w:left="644" w:hanging="0"/>
        <w:contextualSpacing/>
        <w:jc w:val="both"/>
        <w:rPr>
          <w:rFonts w:ascii="Calibri" w:hAnsi="Calibri" w:cs="Arial"/>
          <w:color w:val="000000"/>
          <w:sz w:val="24"/>
          <w:szCs w:val="24"/>
        </w:rPr>
      </w:pPr>
      <w:r>
        <w:rPr>
          <w:rFonts w:cs="Arial" w:ascii="Calibri" w:hAnsi="Calibri"/>
          <w:color w:val="000000"/>
          <w:sz w:val="24"/>
          <w:szCs w:val="24"/>
        </w:rPr>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Nos reajustes subsequentes ao primeiro, o interregno mínimo de um ano será contado a partir dos efeitos financeiros do último reajuste.</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Nas aferições finais, o índice utilizado para reajuste será, obrigatoriamente, o definitivo.</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Caso o índice estabelecido para reajustamento venha a ser extinto ou de qualquer forma não possa mais ser utilizado, será adotado, em substituição, o que vier a ser determinado pela legislação então em vigor.</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 xml:space="preserve">Na ausência de previsão legal quanto ao índice substituto, as partes elegerão novo índice oficial, para reajustamento do preço do valor remanescente, por meio de termo aditivo. </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O reajuste será realizado por apostilamento.</w:t>
      </w:r>
    </w:p>
    <w:p>
      <w:pPr>
        <w:pStyle w:val="ListParagraph"/>
        <w:numPr>
          <w:ilvl w:val="0"/>
          <w:numId w:val="0"/>
        </w:numPr>
        <w:spacing w:lineRule="auto" w:line="240" w:before="0" w:after="0"/>
        <w:ind w:left="644" w:hanging="0"/>
        <w:contextualSpacing/>
        <w:jc w:val="both"/>
        <w:rPr>
          <w:rFonts w:ascii="Calibri" w:hAnsi="Calibri" w:cs="Arial"/>
          <w:color w:val="000000"/>
          <w:sz w:val="24"/>
          <w:szCs w:val="24"/>
        </w:rPr>
      </w:pPr>
      <w:r>
        <w:rPr>
          <w:rFonts w:cs="Arial" w:ascii="Calibri" w:hAnsi="Calibri"/>
          <w:color w:val="000000"/>
          <w:sz w:val="24"/>
          <w:szCs w:val="24"/>
        </w:rPr>
      </w:r>
    </w:p>
    <w:p>
      <w:pPr>
        <w:pStyle w:val="ListParagraph"/>
        <w:numPr>
          <w:ilvl w:val="0"/>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 xml:space="preserve"> </w:t>
      </w:r>
      <w:r>
        <w:rPr>
          <w:rFonts w:ascii="Calibri" w:hAnsi="Calibri"/>
          <w:color w:val="000000"/>
          <w:sz w:val="24"/>
          <w:szCs w:val="24"/>
        </w:rPr>
        <w:t>DA GARANTIA DE EXECUÇÃO</w:t>
      </w:r>
    </w:p>
    <w:p>
      <w:pPr>
        <w:pStyle w:val="ListParagraph"/>
        <w:numPr>
          <w:ilvl w:val="1"/>
          <w:numId w:val="3"/>
        </w:numPr>
        <w:spacing w:lineRule="auto" w:line="240" w:before="0" w:after="0"/>
        <w:contextualSpacing/>
        <w:jc w:val="both"/>
        <w:rPr>
          <w:rFonts w:ascii="Calibri" w:hAnsi="Calibri"/>
          <w:color w:val="000000"/>
          <w:sz w:val="24"/>
          <w:szCs w:val="24"/>
        </w:rPr>
      </w:pPr>
      <w:r>
        <w:rPr>
          <w:rFonts w:ascii="Calibri" w:hAnsi="Calibri"/>
          <w:b w:val="false"/>
          <w:color w:val="000000"/>
          <w:sz w:val="24"/>
          <w:szCs w:val="24"/>
        </w:rPr>
        <w:t>Não haverá exigência de garantia contratual da execução, pois os itens  de aquisição deste Termo de Referência são medicamentos</w:t>
      </w:r>
      <w:r>
        <w:rPr>
          <w:rFonts w:eastAsia="Times New Roman" w:cs="Times New Roman" w:ascii="Calibri" w:hAnsi="Calibri"/>
          <w:b w:val="false"/>
          <w:color w:val="000000"/>
          <w:sz w:val="24"/>
          <w:szCs w:val="24"/>
        </w:rPr>
        <w:t xml:space="preserve"> de uso</w:t>
      </w:r>
      <w:r>
        <w:rPr>
          <w:rFonts w:eastAsia="Times New Roman" w:ascii="Calibri" w:hAnsi="Calibri"/>
          <w:b w:val="false"/>
          <w:color w:val="000000"/>
          <w:sz w:val="24"/>
          <w:szCs w:val="24"/>
        </w:rPr>
        <w:t xml:space="preserve"> sob demanda das prescrições médicas e de acordo com a necessidade dos pacientes inscritos no Programa de Medicamentos Especiais, conforme descrito no Estudo Técnico Preliminar.</w:t>
      </w:r>
    </w:p>
    <w:p>
      <w:pPr>
        <w:pStyle w:val="ListParagraph"/>
        <w:spacing w:lineRule="auto" w:line="240" w:before="0" w:after="0"/>
        <w:contextualSpacing/>
        <w:jc w:val="both"/>
        <w:rPr>
          <w:rFonts w:ascii="Calibri" w:hAnsi="Calibri" w:eastAsia="Times New Roman"/>
          <w:b w:val="false"/>
          <w:b w:val="false"/>
          <w:color w:val="000000"/>
          <w:sz w:val="24"/>
          <w:szCs w:val="24"/>
        </w:rPr>
      </w:pPr>
      <w:r>
        <w:rPr>
          <w:rFonts w:eastAsia="Times New Roman" w:ascii="Calibri" w:hAnsi="Calibri"/>
          <w:b w:val="false"/>
          <w:color w:val="000000"/>
          <w:sz w:val="24"/>
          <w:szCs w:val="24"/>
        </w:rPr>
      </w:r>
    </w:p>
    <w:p>
      <w:pPr>
        <w:pStyle w:val="ListParagraph"/>
        <w:numPr>
          <w:ilvl w:val="0"/>
          <w:numId w:val="3"/>
        </w:numPr>
        <w:spacing w:lineRule="auto" w:line="240" w:before="0" w:after="0"/>
        <w:contextualSpacing/>
        <w:jc w:val="both"/>
        <w:rPr>
          <w:rFonts w:ascii="Calibri" w:hAnsi="Calibri"/>
          <w:color w:val="000000"/>
          <w:sz w:val="24"/>
          <w:szCs w:val="24"/>
        </w:rPr>
      </w:pPr>
      <w:r>
        <w:rPr>
          <w:rFonts w:eastAsia="Times New Roman" w:ascii="Calibri" w:hAnsi="Calibri"/>
          <w:b w:val="false"/>
          <w:color w:val="000000"/>
          <w:sz w:val="24"/>
          <w:szCs w:val="24"/>
        </w:rPr>
        <w:t xml:space="preserve"> </w:t>
      </w:r>
      <w:r>
        <w:rPr>
          <w:rFonts w:ascii="Calibri" w:hAnsi="Calibri"/>
          <w:color w:val="000000"/>
          <w:sz w:val="24"/>
          <w:szCs w:val="24"/>
        </w:rPr>
        <w:t>DAS SANÇÕES ADMINISTRATIVAS</w:t>
      </w:r>
    </w:p>
    <w:p>
      <w:pPr>
        <w:pStyle w:val="ListParagraph"/>
        <w:numPr>
          <w:ilvl w:val="1"/>
          <w:numId w:val="3"/>
        </w:numPr>
        <w:spacing w:lineRule="auto" w:line="240" w:before="0" w:after="0"/>
        <w:contextualSpacing/>
        <w:jc w:val="both"/>
        <w:rPr>
          <w:rFonts w:ascii="Calibri" w:hAnsi="Calibri"/>
          <w:color w:val="000000"/>
          <w:sz w:val="24"/>
          <w:szCs w:val="24"/>
        </w:rPr>
      </w:pPr>
      <w:r>
        <w:rPr>
          <w:rFonts w:ascii="Calibri" w:hAnsi="Calibri"/>
          <w:color w:val="000000"/>
          <w:sz w:val="24"/>
          <w:szCs w:val="24"/>
        </w:rPr>
        <w:t xml:space="preserve"> </w:t>
      </w:r>
      <w:r>
        <w:rPr>
          <w:rFonts w:cs="Arial" w:ascii="Calibri" w:hAnsi="Calibri"/>
          <w:color w:val="000000"/>
          <w:sz w:val="24"/>
          <w:szCs w:val="24"/>
        </w:rPr>
        <w:t>Comete infração administrativa nos termos da Lei nº 10.520, de 2002, a Contratada que:</w:t>
      </w:r>
    </w:p>
    <w:p>
      <w:pPr>
        <w:pStyle w:val="PargrafodaLista1"/>
        <w:numPr>
          <w:ilvl w:val="2"/>
          <w:numId w:val="3"/>
        </w:numPr>
        <w:spacing w:lineRule="auto" w:line="240" w:before="0" w:after="0"/>
        <w:ind w:left="1224" w:right="-30" w:hanging="504"/>
        <w:contextualSpacing/>
        <w:jc w:val="both"/>
        <w:rPr>
          <w:rFonts w:ascii="Calibri" w:hAnsi="Calibri"/>
          <w:color w:val="000000"/>
          <w:sz w:val="24"/>
          <w:szCs w:val="24"/>
        </w:rPr>
      </w:pPr>
      <w:r>
        <w:rPr>
          <w:rFonts w:cs="Arial" w:ascii="Calibri" w:hAnsi="Calibri"/>
          <w:color w:val="000000"/>
          <w:sz w:val="24"/>
          <w:szCs w:val="24"/>
        </w:rPr>
        <w:t>alhar na execução do contrato, pela inexecução, total ou parcial, de quaisquer das obrigações assumidas na contratação;</w:t>
      </w:r>
    </w:p>
    <w:p>
      <w:pPr>
        <w:pStyle w:val="PargrafodaLista1"/>
        <w:numPr>
          <w:ilvl w:val="2"/>
          <w:numId w:val="3"/>
        </w:numPr>
        <w:spacing w:lineRule="auto" w:line="240" w:before="0" w:after="0"/>
        <w:ind w:left="1224" w:right="-30" w:hanging="504"/>
        <w:contextualSpacing/>
        <w:jc w:val="both"/>
        <w:rPr>
          <w:rFonts w:ascii="Calibri" w:hAnsi="Calibri"/>
          <w:color w:val="000000"/>
          <w:sz w:val="24"/>
          <w:szCs w:val="24"/>
        </w:rPr>
      </w:pPr>
      <w:r>
        <w:rPr>
          <w:rFonts w:cs="Arial" w:ascii="Calibri" w:hAnsi="Calibri"/>
          <w:color w:val="000000"/>
          <w:sz w:val="24"/>
          <w:szCs w:val="24"/>
        </w:rPr>
        <w:t>ensejar o retardamento da execução do objeto;</w:t>
      </w:r>
    </w:p>
    <w:p>
      <w:pPr>
        <w:pStyle w:val="PargrafodaLista1"/>
        <w:numPr>
          <w:ilvl w:val="2"/>
          <w:numId w:val="3"/>
        </w:numPr>
        <w:spacing w:lineRule="auto" w:line="240" w:before="0" w:after="0"/>
        <w:ind w:left="1224" w:right="-30" w:hanging="504"/>
        <w:contextualSpacing/>
        <w:jc w:val="both"/>
        <w:rPr>
          <w:rFonts w:ascii="Calibri" w:hAnsi="Calibri"/>
          <w:color w:val="000000"/>
          <w:sz w:val="24"/>
          <w:szCs w:val="24"/>
        </w:rPr>
      </w:pPr>
      <w:r>
        <w:rPr>
          <w:rFonts w:cs="Arial" w:ascii="Calibri" w:hAnsi="Calibri"/>
          <w:color w:val="000000"/>
          <w:sz w:val="24"/>
          <w:szCs w:val="24"/>
        </w:rPr>
        <w:t>fraudar na execução do contrato;</w:t>
      </w:r>
    </w:p>
    <w:p>
      <w:pPr>
        <w:pStyle w:val="PargrafodaLista1"/>
        <w:numPr>
          <w:ilvl w:val="2"/>
          <w:numId w:val="3"/>
        </w:numPr>
        <w:spacing w:lineRule="auto" w:line="240" w:before="0" w:after="0"/>
        <w:ind w:left="1224" w:right="-30" w:hanging="504"/>
        <w:contextualSpacing/>
        <w:jc w:val="both"/>
        <w:rPr>
          <w:rFonts w:ascii="Calibri" w:hAnsi="Calibri"/>
          <w:color w:val="000000"/>
          <w:sz w:val="24"/>
          <w:szCs w:val="24"/>
        </w:rPr>
      </w:pPr>
      <w:r>
        <w:rPr>
          <w:rFonts w:cs="Arial" w:ascii="Calibri" w:hAnsi="Calibri"/>
          <w:color w:val="000000"/>
          <w:sz w:val="24"/>
          <w:szCs w:val="24"/>
        </w:rPr>
        <w:t>comportar-se de modo inidôneo; ou</w:t>
      </w:r>
    </w:p>
    <w:p>
      <w:pPr>
        <w:pStyle w:val="PargrafodaLista1"/>
        <w:numPr>
          <w:ilvl w:val="2"/>
          <w:numId w:val="3"/>
        </w:numPr>
        <w:spacing w:lineRule="auto" w:line="240" w:before="0" w:after="0"/>
        <w:ind w:left="1224" w:right="-30" w:hanging="504"/>
        <w:contextualSpacing/>
        <w:jc w:val="both"/>
        <w:rPr>
          <w:rFonts w:ascii="Calibri" w:hAnsi="Calibri"/>
          <w:color w:val="000000"/>
          <w:sz w:val="24"/>
          <w:szCs w:val="24"/>
        </w:rPr>
      </w:pPr>
      <w:r>
        <w:rPr>
          <w:rFonts w:cs="Arial" w:ascii="Calibri" w:hAnsi="Calibri"/>
          <w:color w:val="000000"/>
          <w:sz w:val="24"/>
          <w:szCs w:val="24"/>
        </w:rPr>
        <w:t>cometer fraude fiscal.</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 xml:space="preserve">Pela inexecução </w:t>
      </w:r>
      <w:r>
        <w:rPr>
          <w:rFonts w:cs="Arial" w:ascii="Calibri" w:hAnsi="Calibri"/>
          <w:color w:val="000000"/>
          <w:sz w:val="24"/>
          <w:szCs w:val="24"/>
          <w:u w:val="single"/>
        </w:rPr>
        <w:t>total ou parcial</w:t>
      </w:r>
      <w:r>
        <w:rPr>
          <w:rFonts w:cs="Arial" w:ascii="Calibri" w:hAnsi="Calibri"/>
          <w:color w:val="000000"/>
          <w:sz w:val="24"/>
          <w:szCs w:val="24"/>
        </w:rPr>
        <w:t xml:space="preserve"> do objeto deste contrato, a Administração pode aplicar à CONTRATADA as seguintes sanções:</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 xml:space="preserve"> </w:t>
      </w:r>
      <w:r>
        <w:rPr>
          <w:rFonts w:cs="Arial" w:ascii="Calibri" w:hAnsi="Calibri"/>
          <w:color w:val="000000"/>
          <w:sz w:val="24"/>
          <w:szCs w:val="24"/>
        </w:rPr>
        <w:t>A Sanção de impedimento de licitar e contratar prevista no subitem “iv” também é aplicável em quaisquer das hipóteses previstas como infração administrativa neste Termo de Referência.</w:t>
      </w:r>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 xml:space="preserve"> </w:t>
      </w:r>
      <w:r>
        <w:rPr>
          <w:rFonts w:cs="Arial" w:ascii="Calibri" w:hAnsi="Calibri"/>
          <w:color w:val="000000"/>
          <w:sz w:val="24"/>
          <w:szCs w:val="24"/>
        </w:rPr>
        <w:t>As sanções previstas nos subitens “i”, “iii”, “iv” e “v” poderão ser aplicadas à CONTRATADA juntamente com as de multa, descontando-a dos pagamentos a serem efetuados.</w:t>
      </w:r>
      <w:bookmarkStart w:id="21" w:name="_Hlk78351618"/>
      <w:bookmarkEnd w:id="21"/>
    </w:p>
    <w:p>
      <w:pPr>
        <w:pStyle w:val="ListParagraph"/>
        <w:numPr>
          <w:ilvl w:val="1"/>
          <w:numId w:val="3"/>
        </w:numPr>
        <w:spacing w:lineRule="auto" w:line="240" w:before="0" w:after="0"/>
        <w:contextualSpacing/>
        <w:jc w:val="both"/>
        <w:rPr>
          <w:rFonts w:ascii="Calibri" w:hAnsi="Calibri"/>
          <w:color w:val="000000"/>
          <w:sz w:val="24"/>
          <w:szCs w:val="24"/>
        </w:rPr>
      </w:pPr>
      <w:r>
        <w:rPr>
          <w:rFonts w:cs="Arial" w:ascii="Calibri" w:hAnsi="Calibri"/>
          <w:color w:val="000000"/>
          <w:sz w:val="24"/>
          <w:szCs w:val="24"/>
        </w:rPr>
        <w:t>Também ficam sujeitas às penalidades do art. 87, III e IV da Lei nº 8.666, de 1993, as empresas ou profissionais que:</w:t>
      </w:r>
    </w:p>
    <w:p>
      <w:pPr>
        <w:pStyle w:val="Normal"/>
        <w:numPr>
          <w:ilvl w:val="0"/>
          <w:numId w:val="0"/>
        </w:numPr>
        <w:spacing w:lineRule="auto" w:line="240" w:before="0" w:after="0"/>
        <w:ind w:left="1288" w:hanging="0"/>
        <w:contextualSpacing/>
        <w:jc w:val="both"/>
        <w:rPr>
          <w:rFonts w:ascii="Calibri" w:hAnsi="Calibri"/>
          <w:color w:val="000000"/>
          <w:sz w:val="24"/>
          <w:szCs w:val="24"/>
        </w:rPr>
      </w:pPr>
      <w:r>
        <w:rPr>
          <w:rFonts w:cs="Arial" w:ascii="Calibri" w:hAnsi="Calibri"/>
          <w:b/>
          <w:bCs/>
          <w:color w:val="000000"/>
          <w:sz w:val="24"/>
          <w:szCs w:val="24"/>
        </w:rPr>
        <w:t>i) Advertência por escrito</w:t>
      </w:r>
      <w:r>
        <w:rPr>
          <w:rFonts w:cs="Arial" w:ascii="Calibri" w:hAnsi="Calibri"/>
          <w:color w:val="000000"/>
          <w:sz w:val="24"/>
          <w:szCs w:val="24"/>
        </w:rPr>
        <w:t>, quando do não cumprimento de quaisquer das obrigações contratuais consideradas faltas leves, assim entendidas aquelas que não acarretam prejuízos significativos para o serviço contratado;</w:t>
      </w:r>
    </w:p>
    <w:p>
      <w:pPr>
        <w:pStyle w:val="Normal"/>
        <w:numPr>
          <w:ilvl w:val="0"/>
          <w:numId w:val="0"/>
        </w:numPr>
        <w:spacing w:lineRule="auto" w:line="240" w:before="0" w:after="0"/>
        <w:ind w:left="1288" w:hanging="0"/>
        <w:contextualSpacing/>
        <w:jc w:val="both"/>
        <w:rPr>
          <w:rFonts w:ascii="Calibri" w:hAnsi="Calibri"/>
          <w:color w:val="000000"/>
          <w:sz w:val="24"/>
          <w:szCs w:val="24"/>
        </w:rPr>
      </w:pPr>
      <w:r>
        <w:rPr>
          <w:rFonts w:cs="Arial" w:ascii="Calibri" w:hAnsi="Calibri"/>
          <w:b/>
          <w:bCs/>
          <w:color w:val="000000"/>
          <w:sz w:val="24"/>
          <w:szCs w:val="24"/>
        </w:rPr>
        <w:t>ii) Multa:</w:t>
      </w:r>
    </w:p>
    <w:p>
      <w:pPr>
        <w:pStyle w:val="Normal"/>
        <w:numPr>
          <w:ilvl w:val="0"/>
          <w:numId w:val="0"/>
        </w:numPr>
        <w:spacing w:lineRule="auto" w:line="240" w:before="0" w:after="0"/>
        <w:ind w:left="1572" w:hanging="0"/>
        <w:contextualSpacing/>
        <w:jc w:val="both"/>
        <w:rPr>
          <w:rFonts w:ascii="Calibri" w:hAnsi="Calibri"/>
          <w:color w:val="000000"/>
          <w:sz w:val="24"/>
          <w:szCs w:val="24"/>
        </w:rPr>
      </w:pPr>
      <w:r>
        <w:rPr>
          <w:rFonts w:cs="Arial" w:ascii="Calibri" w:hAnsi="Calibri"/>
          <w:color w:val="000000"/>
          <w:sz w:val="24"/>
          <w:szCs w:val="24"/>
        </w:rPr>
        <w:t>moratória de 1% (Um por cento) por dia de atraso injustificado sobre o valor da parcela inadimplida, até o limite de 4 (Quatro) dias;</w:t>
      </w:r>
    </w:p>
    <w:p>
      <w:pPr>
        <w:pStyle w:val="Normal"/>
        <w:numPr>
          <w:ilvl w:val="0"/>
          <w:numId w:val="0"/>
        </w:numPr>
        <w:spacing w:lineRule="auto" w:line="240" w:before="0" w:after="0"/>
        <w:ind w:left="1572" w:hanging="0"/>
        <w:contextualSpacing/>
        <w:jc w:val="both"/>
        <w:rPr>
          <w:rFonts w:ascii="Calibri" w:hAnsi="Calibri"/>
          <w:color w:val="000000"/>
          <w:sz w:val="24"/>
          <w:szCs w:val="24"/>
        </w:rPr>
      </w:pPr>
      <w:r>
        <w:rPr>
          <w:rFonts w:cs="Arial" w:ascii="Calibri" w:hAnsi="Calibri"/>
          <w:color w:val="000000"/>
          <w:sz w:val="24"/>
          <w:szCs w:val="24"/>
        </w:rPr>
        <w:t>compensatória de 10% (Dez por cento) sobre o valor total do contrato, no caso de inexecução total do objeto;</w:t>
      </w:r>
    </w:p>
    <w:p>
      <w:pPr>
        <w:pStyle w:val="Normal"/>
        <w:numPr>
          <w:ilvl w:val="0"/>
          <w:numId w:val="0"/>
        </w:numPr>
        <w:spacing w:lineRule="auto" w:line="240" w:before="0" w:after="0"/>
        <w:ind w:left="1288" w:hanging="0"/>
        <w:contextualSpacing/>
        <w:jc w:val="both"/>
        <w:rPr>
          <w:rFonts w:ascii="Calibri" w:hAnsi="Calibri"/>
          <w:color w:val="000000"/>
          <w:sz w:val="24"/>
          <w:szCs w:val="24"/>
        </w:rPr>
      </w:pPr>
      <w:r>
        <w:rPr>
          <w:rFonts w:cs="Arial" w:ascii="Calibri" w:hAnsi="Calibri"/>
          <w:b/>
          <w:bCs/>
          <w:color w:val="000000"/>
          <w:sz w:val="24"/>
          <w:szCs w:val="24"/>
        </w:rPr>
        <w:t>iii) Suspensão de licitar e impedimento de contratar</w:t>
      </w:r>
      <w:r>
        <w:rPr>
          <w:rFonts w:cs="Arial" w:ascii="Calibri" w:hAnsi="Calibri"/>
          <w:color w:val="000000"/>
          <w:sz w:val="24"/>
          <w:szCs w:val="24"/>
        </w:rPr>
        <w:t xml:space="preserve"> com o órgão, entidade ou unidade administrativa pela qual a Administração Pública opera e atua concretamente, pelo prazo de até dois anos;</w:t>
      </w:r>
    </w:p>
    <w:p>
      <w:pPr>
        <w:pStyle w:val="ListParagraph"/>
        <w:numPr>
          <w:ilvl w:val="0"/>
          <w:numId w:val="0"/>
        </w:numPr>
        <w:spacing w:lineRule="auto" w:line="240" w:before="0" w:after="0"/>
        <w:ind w:left="1288" w:hanging="0"/>
        <w:contextualSpacing/>
        <w:jc w:val="both"/>
        <w:rPr>
          <w:rFonts w:ascii="Calibri" w:hAnsi="Calibri"/>
          <w:color w:val="000000"/>
          <w:sz w:val="24"/>
          <w:szCs w:val="24"/>
        </w:rPr>
      </w:pPr>
      <w:r>
        <w:rPr>
          <w:rFonts w:cs="Arial" w:ascii="Calibri" w:hAnsi="Calibri"/>
          <w:b/>
          <w:bCs/>
          <w:color w:val="000000"/>
          <w:sz w:val="24"/>
          <w:szCs w:val="24"/>
        </w:rPr>
        <w:t>iv) Sanção de impedimento de licitar e contratar com órgãos e entidades da União</w:t>
      </w:r>
      <w:r>
        <w:rPr>
          <w:rFonts w:cs="Arial" w:ascii="Calibri" w:hAnsi="Calibri"/>
          <w:color w:val="000000"/>
          <w:sz w:val="24"/>
          <w:szCs w:val="24"/>
        </w:rPr>
        <w:t>, com o consequente descredenciamento no SICAF pelo prazo de até cinco anos.</w:t>
      </w:r>
    </w:p>
    <w:p>
      <w:pPr>
        <w:pStyle w:val="Normal"/>
        <w:numPr>
          <w:ilvl w:val="0"/>
          <w:numId w:val="0"/>
        </w:numPr>
        <w:spacing w:lineRule="auto" w:line="240" w:before="0" w:after="0"/>
        <w:ind w:left="1288" w:hanging="0"/>
        <w:contextualSpacing/>
        <w:jc w:val="both"/>
        <w:rPr>
          <w:rFonts w:ascii="Calibri" w:hAnsi="Calibri"/>
          <w:color w:val="000000"/>
          <w:sz w:val="24"/>
          <w:szCs w:val="24"/>
        </w:rPr>
      </w:pPr>
      <w:r>
        <w:rPr>
          <w:rFonts w:cs="Arial" w:ascii="Calibri" w:hAnsi="Calibri"/>
          <w:b/>
          <w:bCs/>
          <w:color w:val="000000"/>
          <w:sz w:val="24"/>
          <w:szCs w:val="24"/>
        </w:rPr>
        <w:t>v) Declaração de inidoneidade para licitar ou contratar</w:t>
      </w:r>
      <w:r>
        <w:rPr>
          <w:rFonts w:cs="Arial" w:ascii="Calibri" w:hAnsi="Calibri"/>
          <w:color w:val="000000"/>
          <w:sz w:val="24"/>
          <w:szCs w:val="24"/>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Arial" w:ascii="Calibri" w:hAnsi="Calibri"/>
          <w:color w:val="000000"/>
          <w:sz w:val="24"/>
          <w:szCs w:val="24"/>
        </w:rPr>
        <w:t>tenham sofrido condenação definitiva por praticar, por meio dolosos, fraude fiscal no recolhimento de quaisquer tributos;</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Arial" w:ascii="Calibri" w:hAnsi="Calibri"/>
          <w:color w:val="000000"/>
          <w:sz w:val="24"/>
          <w:szCs w:val="24"/>
        </w:rPr>
        <w:t>tenham praticado atos ilícitos visando a frustrar os objetivos da licitação;</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Arial" w:ascii="Calibri" w:hAnsi="Calibri"/>
          <w:color w:val="000000"/>
          <w:sz w:val="24"/>
          <w:szCs w:val="24"/>
        </w:rPr>
        <w:t>demonstrem não possuir idoneidade para contratar com a Administração em virtude de atos ilícitos praticados.</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Arial" w:ascii="Calibri" w:hAnsi="Calibri"/>
          <w:color w:val="000000"/>
          <w:sz w:val="24"/>
          <w:szCs w:val="24"/>
        </w:rPr>
        <w:t>A aplicação de qualquer das penalidades previstas realizar-se-á em processo administrativo que assegurará o contraditório e a ampla defesa à Contratada, observando-se o procedimento previsto na Lei nº 8.666, de 1993, e subsidiariamente a Lei nº 9.784, de 1999.</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ascii="Calibri" w:hAnsi="Calibri"/>
          <w:color w:val="000000"/>
          <w:sz w:val="24"/>
          <w:szCs w:val="24"/>
        </w:rPr>
        <w:t xml:space="preserve"> </w:t>
      </w:r>
      <w:r>
        <w:rPr>
          <w:rFonts w:ascii="Calibri" w:hAnsi="Calibri"/>
          <w:color w:val="000000"/>
          <w:sz w:val="24"/>
          <w:szCs w:val="24"/>
        </w:rPr>
        <w:t>A autoridade competente, na aplicação das sanções, levará em consideração a gravidade da conduta do infrator, o caráter educativo da pena, bem como o dano causado à Administração, observado o princípio da proporcionalidade.</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Arial" w:ascii="Calibri" w:hAnsi="Calibri"/>
          <w:color w:val="000000"/>
          <w:sz w:val="24"/>
          <w:szCs w:val="24"/>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r>
        <w:rPr>
          <w:rFonts w:ascii="Calibri" w:hAnsi="Calibri"/>
          <w:color w:val="000000"/>
          <w:sz w:val="24"/>
          <w:szCs w:val="24"/>
        </w:rPr>
        <w:t xml:space="preserve"> </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ascii="Calibri" w:hAnsi="Calibri"/>
          <w:color w:val="000000"/>
          <w:sz w:val="24"/>
          <w:szCs w:val="24"/>
        </w:rPr>
        <w:t>As multas devidas e/ou prejuízos causados à Contratante serão deduzidos dos valores a serem pagos, ou recolhidos em favor da União, ou deduzidos da garantia, ou ainda, quando for o caso, serão inscritos na Dívida Ativa da União e cobrados judicialmente.</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sz w:val="24"/>
          <w:szCs w:val="24"/>
        </w:rPr>
      </w:pPr>
      <w:r>
        <w:rPr>
          <w:rFonts w:ascii="Calibri" w:hAnsi="Calibri"/>
          <w:color w:val="000000"/>
          <w:sz w:val="24"/>
          <w:szCs w:val="24"/>
        </w:rPr>
        <w:t>Caso a Contratante determine, a multa deverá ser recolhida no prazo máximo de 4 (Quatro) dias, a contar da data do recebimento da comunicação enviada pela autoridade competente.</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sz w:val="24"/>
          <w:szCs w:val="24"/>
        </w:rPr>
      </w:pPr>
      <w:r>
        <w:rPr>
          <w:rFonts w:cs="Arial" w:ascii="Calibri" w:hAnsi="Calibri"/>
          <w:color w:val="000000"/>
          <w:sz w:val="24"/>
          <w:szCs w:val="24"/>
        </w:rPr>
        <w:t>Caso o valor da multa não seja suficiente para cobrir os prejuízos causados pela conduta do licitante, a União ou Entidade poderá cobrar o valor remanescente judicialmente, conforme artigo 419 do Código Civil.</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s="Arial"/>
          <w:color w:val="000000"/>
          <w:sz w:val="24"/>
          <w:szCs w:val="24"/>
        </w:rPr>
      </w:pPr>
      <w:r>
        <w:rPr>
          <w:rFonts w:cs="Arial" w:ascii="Calibri" w:hAnsi="Calibri"/>
          <w:color w:val="000000"/>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Arial" w:ascii="Calibri" w:hAnsi="Calibri"/>
          <w:color w:val="000000"/>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Arial" w:ascii="Calibri" w:hAnsi="Calibri"/>
          <w:color w:val="000000"/>
          <w:sz w:val="24"/>
          <w:szCs w:val="24"/>
        </w:rPr>
        <w:t>As penalidades serão obrigatoriamente registradas no SICAF.</w:t>
      </w:r>
    </w:p>
    <w:p>
      <w:pPr>
        <w:pStyle w:val="ListParagraph"/>
        <w:widowControl/>
        <w:suppressAutoHyphens w:val="true"/>
        <w:bidi w:val="0"/>
        <w:spacing w:lineRule="auto" w:line="240" w:before="0" w:after="0"/>
        <w:ind w:left="0" w:right="0" w:firstLine="283"/>
        <w:contextualSpacing/>
        <w:jc w:val="both"/>
        <w:rPr>
          <w:rFonts w:cs="Arial"/>
        </w:rPr>
      </w:pPr>
      <w:r>
        <w:rPr>
          <w:rFonts w:cs="Arial"/>
        </w:rPr>
      </w:r>
    </w:p>
    <w:p>
      <w:pPr>
        <w:pStyle w:val="ListParagraph"/>
        <w:widowControl/>
        <w:numPr>
          <w:ilvl w:val="0"/>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Arial" w:ascii="Calibri" w:hAnsi="Calibri"/>
          <w:color w:val="000000"/>
          <w:sz w:val="24"/>
          <w:szCs w:val="24"/>
        </w:rPr>
        <w:t xml:space="preserve"> </w:t>
      </w:r>
      <w:r>
        <w:rPr>
          <w:rFonts w:cs="Calibri" w:ascii="Calibri" w:hAnsi="Calibri" w:asciiTheme="minorHAnsi" w:cstheme="minorHAnsi" w:hAnsiTheme="minorHAnsi"/>
          <w:b/>
          <w:bCs/>
          <w:color w:val="000000"/>
          <w:sz w:val="24"/>
          <w:szCs w:val="24"/>
        </w:rPr>
        <w:t>CRITÉRIOS DE SELEÇÃO DO FORNECEDOR</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ascii="Calibri" w:hAnsi="Calibri"/>
          <w:color w:val="000000"/>
          <w:sz w:val="24"/>
          <w:szCs w:val="24"/>
        </w:rPr>
        <w:t xml:space="preserve"> </w:t>
      </w:r>
      <w:r>
        <w:rPr>
          <w:rFonts w:cs="Calibri" w:ascii="Calibri" w:hAnsi="Calibri" w:asciiTheme="minorHAnsi" w:cstheme="minorHAnsi" w:hAnsiTheme="minorHAnsi"/>
          <w:color w:val="000000"/>
          <w:sz w:val="24"/>
          <w:szCs w:val="24"/>
        </w:rPr>
        <w:t>As exigências de habilitação jurídica e de regularidade fiscal e trabalhista são as usuais para a generalidade dos objetos, conforme disciplinado no edital.</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Os critérios de qualificação econômico-financeira a serem atendidos pelo fornecedor estão previstos no edital.</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Os critérios de qualificação técnica a serem atendidos pelo fornecedor serão:</w:t>
      </w:r>
    </w:p>
    <w:p>
      <w:pPr>
        <w:pStyle w:val="ListParagraph"/>
        <w:widowControl/>
        <w:numPr>
          <w:ilvl w:val="2"/>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color w:val="000000"/>
          <w:sz w:val="24"/>
          <w:szCs w:val="24"/>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pPr>
        <w:pStyle w:val="ListParagraph"/>
        <w:widowControl/>
        <w:numPr>
          <w:ilvl w:val="3"/>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Para fins da comprovação de que trata este subitem, os atestados deverão dizer respeito a contratos executados com as seguintes características mínimas:</w:t>
      </w:r>
    </w:p>
    <w:p>
      <w:pPr>
        <w:pStyle w:val="ListParagraph"/>
        <w:widowControl/>
        <w:numPr>
          <w:ilvl w:val="3"/>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lang w:eastAsia="en-US"/>
        </w:rPr>
        <w:t xml:space="preserve">Forma de seleção e critério de julgamento da proposta: </w:t>
      </w:r>
      <w:r>
        <w:rPr>
          <w:rFonts w:cs="Calibri" w:ascii="Calibri" w:hAnsi="Calibri" w:asciiTheme="minorHAnsi" w:cstheme="minorHAnsi" w:hAnsiTheme="minorHAnsi"/>
          <w:color w:val="000000"/>
          <w:sz w:val="24"/>
          <w:szCs w:val="24"/>
        </w:rPr>
        <w:t>O fornecedor será selecionado por meio da realização de procedimento de LICITAÇÃO, na modalidade PREGÃO, sob a forma ELETRÔNICA, com adoção do critério de julgamento pelo [MENOR PREÇO];</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 </w:t>
      </w:r>
      <w:r>
        <w:rPr>
          <w:rFonts w:cs="Calibri" w:ascii="Calibri" w:hAnsi="Calibri" w:asciiTheme="minorHAnsi" w:cstheme="minorHAnsi" w:hAnsiTheme="minorHAnsi"/>
          <w:b/>
          <w:bCs/>
          <w:color w:val="000000"/>
          <w:sz w:val="24"/>
          <w:szCs w:val="24"/>
          <w:lang w:eastAsia="en-US"/>
        </w:rPr>
        <w:t>Exigências de habilitação</w:t>
      </w:r>
    </w:p>
    <w:p>
      <w:pPr>
        <w:pStyle w:val="ListParagraph"/>
        <w:numPr>
          <w:ilvl w:val="2"/>
          <w:numId w:val="3"/>
        </w:numPr>
        <w:tabs>
          <w:tab w:val="clear" w:pos="708"/>
          <w:tab w:val="left" w:pos="1440" w:leader="none"/>
        </w:tabs>
        <w:snapToGrid w:val="false"/>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Para fins de habilitação, deverá o licitante comprovar os seguintes requisitos:</w:t>
      </w:r>
    </w:p>
    <w:p>
      <w:pPr>
        <w:pStyle w:val="ListParagraph"/>
        <w:numPr>
          <w:ilvl w:val="2"/>
          <w:numId w:val="3"/>
        </w:numPr>
        <w:tabs>
          <w:tab w:val="clear" w:pos="708"/>
          <w:tab w:val="left" w:pos="1440" w:leader="none"/>
        </w:tabs>
        <w:snapToGrid w:val="false"/>
        <w:spacing w:lineRule="auto" w:line="240" w:before="0" w:after="0"/>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lang w:eastAsia="zh-CN" w:bidi="hi-IN"/>
        </w:rPr>
        <w:t>Habilitação jurídica:</w:t>
      </w:r>
    </w:p>
    <w:p>
      <w:pPr>
        <w:pStyle w:val="ListParagraph"/>
        <w:numPr>
          <w:ilvl w:val="3"/>
          <w:numId w:val="3"/>
        </w:numPr>
        <w:tabs>
          <w:tab w:val="clear" w:pos="708"/>
          <w:tab w:val="left" w:pos="1440" w:leader="none"/>
        </w:tabs>
        <w:snapToGrid w:val="false"/>
        <w:spacing w:lineRule="auto" w:line="240" w:before="0" w:after="0"/>
        <w:contextualSpacing/>
        <w:jc w:val="both"/>
        <w:rPr>
          <w:rFonts w:ascii="Calibri" w:hAnsi="Calibri"/>
          <w:color w:val="000000"/>
          <w:sz w:val="24"/>
          <w:szCs w:val="24"/>
        </w:rPr>
      </w:pPr>
      <w:bookmarkStart w:id="22" w:name="_Ref115800561"/>
      <w:r>
        <w:rPr>
          <w:rFonts w:cs="Calibri" w:ascii="Calibri" w:hAnsi="Calibri" w:asciiTheme="minorHAnsi" w:cstheme="minorHAnsi" w:hAnsiTheme="minorHAnsi"/>
          <w:color w:val="000000"/>
          <w:sz w:val="24"/>
          <w:szCs w:val="24"/>
        </w:rPr>
        <w:t>Pessoa física: cédula de identidade (RG) ou documento equivalente que, por força de lei, tenha validade para fins de identificação em todo o território nacional;</w:t>
      </w:r>
      <w:bookmarkEnd w:id="22"/>
    </w:p>
    <w:p>
      <w:pPr>
        <w:pStyle w:val="Nivel2"/>
        <w:numPr>
          <w:ilvl w:val="3"/>
          <w:numId w:val="3"/>
        </w:numPr>
        <w:spacing w:lineRule="auto" w:line="240" w:before="0" w:after="0"/>
        <w:contextualSpacing/>
        <w:rPr>
          <w:rFonts w:ascii="Calibri" w:hAnsi="Calibri"/>
          <w:color w:val="000000"/>
          <w:sz w:val="24"/>
          <w:szCs w:val="24"/>
        </w:rPr>
      </w:pPr>
      <w:r>
        <w:rPr>
          <w:rFonts w:cs="Calibri" w:ascii="Calibri" w:hAnsi="Calibri" w:asciiTheme="minorHAnsi" w:cstheme="minorHAnsi" w:hAnsiTheme="minorHAnsi"/>
          <w:b/>
          <w:bCs/>
          <w:color w:val="000000"/>
          <w:sz w:val="24"/>
          <w:szCs w:val="24"/>
        </w:rPr>
        <w:t>Empresário individual:</w:t>
      </w:r>
      <w:r>
        <w:rPr>
          <w:rFonts w:cs="Calibri" w:ascii="Calibri" w:hAnsi="Calibri" w:asciiTheme="minorHAnsi" w:cstheme="minorHAnsi" w:hAnsiTheme="minorHAnsi"/>
          <w:color w:val="000000"/>
          <w:sz w:val="24"/>
          <w:szCs w:val="24"/>
        </w:rPr>
        <w:t xml:space="preserve"> inscrição no Registro Público de Empresas Mercantis, a cargo da Junta Comercial da respectiva sede;</w:t>
      </w:r>
    </w:p>
    <w:p>
      <w:pPr>
        <w:pStyle w:val="Nivel2"/>
        <w:numPr>
          <w:ilvl w:val="3"/>
          <w:numId w:val="3"/>
        </w:numPr>
        <w:spacing w:lineRule="auto" w:line="240" w:before="0" w:after="0"/>
        <w:contextualSpacing/>
        <w:rPr/>
      </w:pPr>
      <w:r>
        <w:rPr>
          <w:rFonts w:cs="Calibri" w:ascii="Calibri" w:hAnsi="Calibri" w:asciiTheme="minorHAnsi" w:cstheme="minorHAnsi" w:hAnsiTheme="minorHAnsi"/>
          <w:b/>
          <w:bCs/>
          <w:color w:val="000000"/>
          <w:sz w:val="24"/>
          <w:szCs w:val="24"/>
        </w:rPr>
        <w:t>Microempreendedor Individual - MEI:</w:t>
      </w:r>
      <w:r>
        <w:rPr>
          <w:rFonts w:cs="Calibri" w:ascii="Calibri" w:hAnsi="Calibri" w:asciiTheme="minorHAnsi" w:cstheme="minorHAnsi" w:hAnsiTheme="minorHAnsi"/>
          <w:color w:val="000000"/>
          <w:sz w:val="24"/>
          <w:szCs w:val="24"/>
        </w:rPr>
        <w:t xml:space="preserve"> Certificado da Condição de Microempreendedor Individual - CCMEI, cuja aceitação ficará condicionada à verificação da autenticidade no sítio </w:t>
      </w:r>
      <w:hyperlink r:id="rId2" w:tgtFrame="_top">
        <w:r>
          <w:rPr>
            <w:rStyle w:val="LinkdaInternet"/>
            <w:rFonts w:cs="Calibri" w:ascii="Calibri" w:hAnsi="Calibri" w:asciiTheme="minorHAnsi" w:cstheme="minorHAnsi" w:hAnsiTheme="minorHAnsi"/>
            <w:color w:val="000000"/>
            <w:sz w:val="24"/>
            <w:szCs w:val="24"/>
          </w:rPr>
          <w:t>https://www.gov.br/empresas-e-negocios/pt-br/empreendedor</w:t>
        </w:r>
      </w:hyperlink>
      <w:r>
        <w:rPr>
          <w:rFonts w:cs="Calibri" w:ascii="Calibri" w:hAnsi="Calibri" w:asciiTheme="minorHAnsi" w:cstheme="minorHAnsi" w:hAnsiTheme="minorHAnsi"/>
          <w:color w:val="000000"/>
          <w:sz w:val="24"/>
          <w:szCs w:val="24"/>
        </w:rPr>
        <w:t>;</w:t>
      </w:r>
    </w:p>
    <w:p>
      <w:pPr>
        <w:pStyle w:val="Nivel2"/>
        <w:numPr>
          <w:ilvl w:val="3"/>
          <w:numId w:val="3"/>
        </w:numPr>
        <w:spacing w:lineRule="auto" w:line="240" w:before="0" w:after="0"/>
        <w:contextualSpacing/>
        <w:rPr>
          <w:rFonts w:ascii="Calibri" w:hAnsi="Calibri"/>
          <w:color w:val="000000"/>
          <w:sz w:val="24"/>
          <w:szCs w:val="24"/>
        </w:rPr>
      </w:pPr>
      <w:r>
        <w:rPr>
          <w:rFonts w:cs="Calibri" w:ascii="Calibri" w:hAnsi="Calibri" w:asciiTheme="minorHAnsi" w:cstheme="minorHAnsi" w:hAnsiTheme="minorHAnsi"/>
          <w:b/>
          <w:bCs/>
          <w:color w:val="000000"/>
          <w:sz w:val="24"/>
          <w:szCs w:val="24"/>
        </w:rPr>
        <w:t>Sociedade empresária, sociedade limitada unipessoal – SLU ou sociedade identificada como empresa individual de responsabilidade limitada - EIRELI:</w:t>
      </w:r>
      <w:r>
        <w:rPr>
          <w:rFonts w:cs="Calibri" w:ascii="Calibri" w:hAnsi="Calibri" w:asciiTheme="minorHAnsi" w:cstheme="minorHAnsi" w:hAnsiTheme="minorHAnsi"/>
          <w:color w:val="000000"/>
          <w:sz w:val="24"/>
          <w:szCs w:val="24"/>
        </w:rPr>
        <w:t xml:space="preserve"> inscrição do ato constitutivo, estatuto ou contrato social no Registro Público de Empresas Mercantis, a cargo da Junta Comercial da respectiva sede, acompanhada de documento comprobatório de seus administradores;</w:t>
      </w:r>
    </w:p>
    <w:p>
      <w:pPr>
        <w:pStyle w:val="Nivel2"/>
        <w:numPr>
          <w:ilvl w:val="3"/>
          <w:numId w:val="3"/>
        </w:numPr>
        <w:spacing w:lineRule="auto" w:line="240" w:before="0" w:after="0"/>
        <w:contextualSpacing/>
        <w:rPr>
          <w:rFonts w:ascii="Calibri" w:hAnsi="Calibri"/>
          <w:color w:val="000000"/>
          <w:sz w:val="24"/>
          <w:szCs w:val="24"/>
        </w:rPr>
      </w:pPr>
      <w:r>
        <w:rPr>
          <w:rFonts w:cs="Calibri" w:ascii="Calibri" w:hAnsi="Calibri" w:asciiTheme="minorHAnsi" w:cstheme="minorHAnsi" w:hAnsiTheme="minorHAnsi"/>
          <w:b/>
          <w:bCs/>
          <w:color w:val="000000"/>
          <w:sz w:val="24"/>
          <w:szCs w:val="24"/>
        </w:rPr>
        <w:t xml:space="preserve">Sociedade simples: </w:t>
      </w:r>
      <w:r>
        <w:rPr>
          <w:rFonts w:cs="Calibri" w:ascii="Calibri" w:hAnsi="Calibri" w:asciiTheme="minorHAnsi" w:cstheme="minorHAnsi" w:hAnsiTheme="minorHAnsi"/>
          <w:color w:val="000000"/>
          <w:sz w:val="24"/>
          <w:szCs w:val="24"/>
        </w:rPr>
        <w:t>inscrição do ato constitutivo no Registro Civil de Pessoas Jurídicas do local de sua sede, acompanhada de documento comprobatório de seus administradores;</w:t>
      </w:r>
    </w:p>
    <w:p>
      <w:pPr>
        <w:pStyle w:val="Nivel2"/>
        <w:numPr>
          <w:ilvl w:val="3"/>
          <w:numId w:val="3"/>
        </w:numPr>
        <w:spacing w:lineRule="auto" w:line="240" w:before="0" w:after="0"/>
        <w:contextualSpacing/>
        <w:rPr>
          <w:rFonts w:ascii="Calibri" w:hAnsi="Calibri"/>
          <w:color w:val="000000"/>
          <w:sz w:val="24"/>
          <w:szCs w:val="24"/>
        </w:rPr>
      </w:pPr>
      <w:r>
        <w:rPr>
          <w:rFonts w:cs="Calibri" w:ascii="Calibri" w:hAnsi="Calibri" w:asciiTheme="minorHAnsi" w:cstheme="minorHAnsi" w:hAnsiTheme="minorHAnsi"/>
          <w:b/>
          <w:bCs/>
          <w:color w:val="000000"/>
          <w:sz w:val="24"/>
          <w:szCs w:val="24"/>
        </w:rPr>
        <w:t>Filial, sucursal ou agência de sociedade simples ou empresária:</w:t>
      </w:r>
      <w:r>
        <w:rPr>
          <w:rFonts w:cs="Calibri" w:ascii="Calibri" w:hAnsi="Calibri" w:asciiTheme="minorHAnsi" w:cstheme="minorHAnsi" w:hAnsiTheme="minorHAnsi"/>
          <w:color w:val="000000"/>
          <w:sz w:val="24"/>
          <w:szCs w:val="24"/>
        </w:rPr>
        <w:t xml:space="preserve"> inscrição do ato constitutivo da filial, sucursal ou agência da sociedade simples ou empresária, respectivamente, no Registro Civil das Pessoas Jurídicas ou no Registro Público de Empresas </w:t>
      </w:r>
      <w:bookmarkStart w:id="23" w:name="_Int_ySfCXwr4"/>
      <w:r>
        <w:rPr>
          <w:rFonts w:cs="Calibri" w:ascii="Calibri" w:hAnsi="Calibri" w:asciiTheme="minorHAnsi" w:cstheme="minorHAnsi" w:hAnsiTheme="minorHAnsi"/>
          <w:color w:val="000000"/>
          <w:sz w:val="24"/>
          <w:szCs w:val="24"/>
        </w:rPr>
        <w:t>Mercantis onde</w:t>
      </w:r>
      <w:bookmarkEnd w:id="23"/>
      <w:r>
        <w:rPr>
          <w:rFonts w:cs="Calibri" w:ascii="Calibri" w:hAnsi="Calibri" w:asciiTheme="minorHAnsi" w:cstheme="minorHAnsi" w:hAnsiTheme="minorHAnsi"/>
          <w:color w:val="000000"/>
          <w:sz w:val="24"/>
          <w:szCs w:val="24"/>
        </w:rPr>
        <w:t xml:space="preserve"> opera, com averbação no Registro onde tem sede a matriz</w:t>
      </w:r>
    </w:p>
    <w:p>
      <w:pPr>
        <w:pStyle w:val="Nivel2"/>
        <w:numPr>
          <w:ilvl w:val="3"/>
          <w:numId w:val="3"/>
        </w:numPr>
        <w:spacing w:lineRule="auto" w:line="240" w:before="0" w:after="0"/>
        <w:contextualSpacing/>
        <w:rPr/>
      </w:pPr>
      <w:r>
        <w:rPr>
          <w:rFonts w:cs="Calibri" w:ascii="Calibri" w:hAnsi="Calibri" w:asciiTheme="minorHAnsi" w:cstheme="minorHAnsi" w:hAnsiTheme="minorHAnsi"/>
          <w:b/>
          <w:bCs/>
          <w:color w:val="000000"/>
          <w:sz w:val="24"/>
          <w:szCs w:val="24"/>
        </w:rPr>
        <w:t>Sociedade cooperativa:</w:t>
      </w:r>
      <w:r>
        <w:rPr>
          <w:rFonts w:cs="Calibri" w:ascii="Calibri" w:hAnsi="Calibri" w:asciiTheme="minorHAnsi" w:cstheme="minorHAnsi" w:hAnsiTheme="minorHAnsi"/>
          <w:color w:val="000000"/>
          <w:sz w:val="24"/>
          <w:szCs w:val="24"/>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LinkdaInternet"/>
          <w:sz w:val="24"/>
          <w:szCs w:val="24"/>
          <w:rFonts w:cs="Calibri" w:ascii="Calibri" w:hAnsi="Calibri"/>
          <w:color w:val="000000"/>
        </w:rPr>
        <w:instrText> HYPERLINK "https://www.planalto.gov.br/ccivil_03/leis/l5764.htm" \l "_blank"</w:instrText>
      </w:r>
      <w:r>
        <w:rPr>
          <w:rStyle w:val="LinkdaInternet"/>
          <w:sz w:val="24"/>
          <w:szCs w:val="24"/>
          <w:rFonts w:cs="Calibri" w:ascii="Calibri" w:hAnsi="Calibri"/>
          <w:color w:val="000000"/>
        </w:rPr>
        <w:fldChar w:fldCharType="separate"/>
      </w:r>
      <w:r>
        <w:rPr>
          <w:rStyle w:val="LinkdaInternet"/>
          <w:rFonts w:cs="Calibri" w:ascii="Calibri" w:hAnsi="Calibri" w:asciiTheme="minorHAnsi" w:cstheme="minorHAnsi" w:hAnsiTheme="minorHAnsi"/>
          <w:color w:val="000000"/>
          <w:sz w:val="24"/>
          <w:szCs w:val="24"/>
        </w:rPr>
        <w:t>art. 107 da Lei nº 5.764, de 16 de dezembro 1971</w:t>
      </w:r>
      <w:r>
        <w:rPr>
          <w:rStyle w:val="LinkdaInternet"/>
          <w:sz w:val="24"/>
          <w:szCs w:val="24"/>
          <w:rFonts w:cs="Calibri" w:ascii="Calibri" w:hAnsi="Calibri"/>
          <w:color w:val="000000"/>
        </w:rPr>
        <w:fldChar w:fldCharType="end"/>
      </w:r>
      <w:r>
        <w:rPr>
          <w:rFonts w:cs="Calibri" w:ascii="Calibri" w:hAnsi="Calibri" w:asciiTheme="minorHAnsi" w:cstheme="minorHAnsi" w:hAnsiTheme="minorHAnsi"/>
          <w:color w:val="000000"/>
          <w:sz w:val="24"/>
          <w:szCs w:val="24"/>
        </w:rPr>
        <w:t>.</w:t>
      </w:r>
    </w:p>
    <w:p>
      <w:pPr>
        <w:pStyle w:val="ListParagraph"/>
        <w:widowControl/>
        <w:numPr>
          <w:ilvl w:val="2"/>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Os documentos apresentados deverão estar acompanhados de todas as alterações ou da consolidação respectiva.</w:t>
      </w:r>
    </w:p>
    <w:p>
      <w:pPr>
        <w:pStyle w:val="ListParagraph"/>
        <w:widowControl/>
        <w:numPr>
          <w:ilvl w:val="2"/>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 </w:t>
      </w:r>
      <w:r>
        <w:rPr>
          <w:rFonts w:cs="Arial" w:ascii="Calibri" w:hAnsi="Calibri" w:asciiTheme="minorHAnsi" w:hAnsiTheme="minorHAnsi"/>
          <w:color w:val="000000"/>
          <w:sz w:val="24"/>
          <w:szCs w:val="24"/>
        </w:rPr>
        <w:t>O critério de julgamento da proposta é o menor preço por item.</w:t>
      </w:r>
    </w:p>
    <w:p>
      <w:pPr>
        <w:pStyle w:val="ListParagraph"/>
        <w:widowControl/>
        <w:numPr>
          <w:ilvl w:val="2"/>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Arial" w:ascii="Calibri" w:hAnsi="Calibri" w:asciiTheme="minorHAnsi" w:hAnsiTheme="minorHAnsi"/>
          <w:color w:val="000000"/>
          <w:sz w:val="24"/>
          <w:szCs w:val="24"/>
        </w:rPr>
        <w:t xml:space="preserve"> </w:t>
      </w:r>
      <w:r>
        <w:rPr>
          <w:rFonts w:cs="Arial" w:ascii="Calibri" w:hAnsi="Calibri"/>
          <w:color w:val="000000"/>
          <w:sz w:val="24"/>
          <w:szCs w:val="24"/>
        </w:rPr>
        <w:t>As regras de desempate entre propostas são as discriminadas no edital.</w:t>
      </w:r>
    </w:p>
    <w:p>
      <w:pPr>
        <w:pStyle w:val="ListParagraph"/>
        <w:widowControl/>
        <w:numPr>
          <w:ilvl w:val="0"/>
          <w:numId w:val="0"/>
        </w:numPr>
        <w:suppressAutoHyphens w:val="true"/>
        <w:bidi w:val="0"/>
        <w:spacing w:lineRule="auto" w:line="240" w:before="0" w:after="0"/>
        <w:ind w:left="0" w:right="0" w:hanging="0"/>
        <w:contextualSpacing/>
        <w:jc w:val="both"/>
        <w:rPr>
          <w:rFonts w:cs="Arial"/>
        </w:rPr>
      </w:pPr>
      <w:r>
        <w:rPr>
          <w:rFonts w:cs="Arial"/>
        </w:rPr>
      </w:r>
    </w:p>
    <w:p>
      <w:pPr>
        <w:pStyle w:val="ListParagraph"/>
        <w:widowControl/>
        <w:numPr>
          <w:ilvl w:val="0"/>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cs="Arial" w:ascii="Calibri" w:hAnsi="Calibri"/>
          <w:color w:val="000000"/>
          <w:sz w:val="24"/>
          <w:szCs w:val="24"/>
        </w:rPr>
        <w:t xml:space="preserve"> </w:t>
      </w:r>
      <w:r>
        <w:rPr>
          <w:rFonts w:ascii="Calibri" w:hAnsi="Calibri"/>
          <w:b/>
          <w:bCs/>
          <w:color w:val="000000"/>
          <w:sz w:val="24"/>
          <w:szCs w:val="24"/>
        </w:rPr>
        <w:t>ESTIMATIVA DE PREÇOS E PREÇOS REFERENCIAIS.</w:t>
      </w:r>
    </w:p>
    <w:p>
      <w:pPr>
        <w:pStyle w:val="ListParagraph"/>
        <w:widowControl/>
        <w:numPr>
          <w:ilvl w:val="1"/>
          <w:numId w:val="3"/>
        </w:numPr>
        <w:suppressAutoHyphens w:val="true"/>
        <w:bidi w:val="0"/>
        <w:spacing w:lineRule="auto" w:line="240" w:before="0" w:after="0"/>
        <w:ind w:left="0" w:right="0" w:firstLine="283"/>
        <w:contextualSpacing/>
        <w:jc w:val="both"/>
        <w:rPr>
          <w:rFonts w:ascii="Calibri" w:hAnsi="Calibri"/>
          <w:color w:val="000000"/>
          <w:sz w:val="24"/>
          <w:szCs w:val="24"/>
        </w:rPr>
      </w:pPr>
      <w:r>
        <w:rPr>
          <w:rFonts w:ascii="Calibri" w:hAnsi="Calibri"/>
          <w:color w:val="000000"/>
          <w:sz w:val="24"/>
          <w:szCs w:val="24"/>
        </w:rPr>
        <w:t xml:space="preserve">O custo estimado total da contratação é de </w:t>
      </w:r>
      <w:r>
        <w:rPr>
          <w:rFonts w:cs="Calibri Light" w:ascii="Calibri" w:hAnsi="Calibri"/>
          <w:b/>
          <w:bCs/>
          <w:color w:val="000000"/>
          <w:sz w:val="24"/>
          <w:szCs w:val="24"/>
        </w:rPr>
        <w:t xml:space="preserve">R$ </w:t>
      </w:r>
      <w:r>
        <w:rPr>
          <w:rFonts w:cs="Calibri" w:ascii="Calibri" w:hAnsi="Calibri" w:asciiTheme="minorHAnsi" w:cstheme="minorHAnsi" w:hAnsiTheme="minorHAnsi"/>
          <w:b/>
          <w:bCs/>
          <w:color w:val="000000"/>
          <w:sz w:val="24"/>
          <w:szCs w:val="24"/>
        </w:rPr>
        <w:t>8.540.993,38</w:t>
      </w:r>
      <w:r>
        <w:rPr>
          <w:rFonts w:ascii="Calibri" w:hAnsi="Calibri"/>
          <w:b/>
          <w:bCs/>
          <w:color w:val="000000"/>
          <w:sz w:val="24"/>
          <w:szCs w:val="24"/>
        </w:rPr>
        <w:t xml:space="preserve"> (Oito milhões e quinhentos e quarenta mil e novecentos e noventa e três reais e trinta e oito centavos)</w:t>
      </w:r>
      <w:r>
        <w:rPr>
          <w:rFonts w:ascii="Calibri" w:hAnsi="Calibri"/>
          <w:color w:val="000000"/>
          <w:sz w:val="24"/>
          <w:szCs w:val="24"/>
        </w:rPr>
        <w:t>, conforme custos unitários apostos na [tabela acima]. O custo estimado da contratação será tornado público apenas e imediatamente após o encerramento do envio de lances.</w:t>
      </w:r>
    </w:p>
    <w:p>
      <w:pPr>
        <w:pStyle w:val="ListParagraph"/>
        <w:widowControl/>
        <w:suppressAutoHyphens w:val="true"/>
        <w:bidi w:val="0"/>
        <w:spacing w:lineRule="auto" w:line="240" w:before="0" w:after="0"/>
        <w:ind w:left="0" w:right="0" w:firstLine="283"/>
        <w:contextualSpacing/>
        <w:jc w:val="both"/>
        <w:rPr/>
      </w:pPr>
      <w:r>
        <w:rPr/>
      </w:r>
    </w:p>
    <w:p>
      <w:pPr>
        <w:pStyle w:val="ListParagraph"/>
        <w:widowControl/>
        <w:numPr>
          <w:ilvl w:val="0"/>
          <w:numId w:val="3"/>
        </w:numPr>
        <w:suppressAutoHyphens w:val="true"/>
        <w:bidi w:val="0"/>
        <w:spacing w:lineRule="auto" w:line="240" w:before="0" w:after="0"/>
        <w:ind w:left="0" w:right="0" w:hanging="0"/>
        <w:contextualSpacing/>
        <w:jc w:val="both"/>
        <w:rPr>
          <w:rFonts w:ascii="Calibri" w:hAnsi="Calibri"/>
          <w:b/>
          <w:b/>
          <w:bCs/>
          <w:color w:val="000000"/>
          <w:sz w:val="24"/>
          <w:szCs w:val="24"/>
        </w:rPr>
      </w:pPr>
      <w:r>
        <w:rPr>
          <w:rFonts w:cs="Calibri" w:ascii="Calibri" w:hAnsi="Calibri" w:asciiTheme="minorHAnsi" w:cstheme="minorHAnsi" w:hAnsiTheme="minorHAnsi"/>
          <w:b/>
          <w:bCs/>
          <w:color w:val="000000"/>
          <w:sz w:val="24"/>
          <w:szCs w:val="24"/>
        </w:rPr>
        <w:t>DOS RECURSOS ORÇAMENTÁRIOS.</w:t>
      </w:r>
    </w:p>
    <w:p>
      <w:pPr>
        <w:pStyle w:val="ListParagraph"/>
        <w:widowControl/>
        <w:numPr>
          <w:ilvl w:val="1"/>
          <w:numId w:val="3"/>
        </w:numPr>
        <w:suppressAutoHyphens w:val="true"/>
        <w:bidi w:val="0"/>
        <w:spacing w:lineRule="auto" w:line="240" w:before="0" w:after="0"/>
        <w:ind w:left="0" w:right="0" w:firstLine="227"/>
        <w:contextualSpacing/>
        <w:jc w:val="both"/>
        <w:rPr>
          <w:rFonts w:ascii="Calibri" w:hAnsi="Calibri"/>
          <w:color w:val="000000"/>
          <w:sz w:val="24"/>
          <w:szCs w:val="24"/>
        </w:rPr>
      </w:pPr>
      <w:r>
        <w:rPr>
          <w:rFonts w:cs="Calibri" w:ascii="Calibri" w:hAnsi="Calibri" w:asciiTheme="minorHAnsi" w:cstheme="minorHAnsi" w:hAnsiTheme="minorHAnsi"/>
          <w:b/>
          <w:bCs/>
          <w:color w:val="000000"/>
          <w:sz w:val="24"/>
          <w:szCs w:val="24"/>
        </w:rPr>
        <w:t xml:space="preserve"> </w:t>
      </w:r>
      <w:r>
        <w:rPr>
          <w:rFonts w:cs="Calibri" w:ascii="Calibri" w:hAnsi="Calibri" w:asciiTheme="minorHAnsi" w:cstheme="minorHAnsi" w:hAnsiTheme="minorHAnsi"/>
          <w:b w:val="false"/>
          <w:color w:val="000000"/>
          <w:sz w:val="24"/>
          <w:szCs w:val="24"/>
        </w:rPr>
        <w:t>As despesas decorrentes da presente contratação correrão à conta de recursos específicos consignados no Orçamento Geral da União.</w:t>
      </w:r>
    </w:p>
    <w:p>
      <w:pPr>
        <w:pStyle w:val="ListParagraph"/>
        <w:widowControl/>
        <w:numPr>
          <w:ilvl w:val="1"/>
          <w:numId w:val="3"/>
        </w:numPr>
        <w:suppressAutoHyphens w:val="true"/>
        <w:bidi w:val="0"/>
        <w:spacing w:lineRule="auto" w:line="240" w:before="0" w:after="0"/>
        <w:ind w:left="0" w:right="0" w:firstLine="227"/>
        <w:contextualSpacing/>
        <w:jc w:val="both"/>
        <w:rPr>
          <w:rFonts w:ascii="Calibri" w:hAnsi="Calibri"/>
          <w:color w:val="000000"/>
          <w:sz w:val="24"/>
          <w:szCs w:val="24"/>
        </w:rPr>
      </w:pPr>
      <w:r>
        <w:rPr>
          <w:rFonts w:cs="Calibri" w:ascii="Calibri" w:hAnsi="Calibri" w:asciiTheme="minorHAnsi" w:cstheme="minorHAnsi" w:hAnsiTheme="minorHAnsi"/>
          <w:b w:val="false"/>
          <w:color w:val="000000"/>
          <w:sz w:val="24"/>
          <w:szCs w:val="24"/>
        </w:rPr>
        <w:t xml:space="preserve"> </w:t>
      </w:r>
      <w:r>
        <w:rPr>
          <w:rFonts w:cs="Calibri" w:ascii="Calibri" w:hAnsi="Calibri" w:asciiTheme="minorHAnsi" w:cstheme="minorHAnsi" w:hAnsiTheme="minorHAnsi"/>
          <w:b w:val="false"/>
          <w:color w:val="000000"/>
          <w:sz w:val="24"/>
          <w:szCs w:val="24"/>
        </w:rPr>
        <w:t>A indicação da dotação orçamentária fica postergada para o momento da assinatura do contrato ou instrumento equivalente.</w:t>
      </w:r>
    </w:p>
    <w:p>
      <w:pPr>
        <w:pStyle w:val="ListParagraph"/>
        <w:widowControl/>
        <w:numPr>
          <w:ilvl w:val="0"/>
          <w:numId w:val="0"/>
        </w:numPr>
        <w:suppressAutoHyphens w:val="true"/>
        <w:bidi w:val="0"/>
        <w:spacing w:lineRule="auto" w:line="240" w:before="0" w:after="0"/>
        <w:ind w:left="0" w:right="0" w:hanging="0"/>
        <w:contextualSpacing/>
        <w:jc w:val="both"/>
        <w:rPr>
          <w:rFonts w:cs="Calibri" w:cstheme="minorHAnsi"/>
          <w:b w:val="false"/>
          <w:b w:val="false"/>
        </w:rPr>
      </w:pPr>
      <w:r>
        <w:rPr>
          <w:rFonts w:cs="Calibri" w:cstheme="minorHAnsi"/>
          <w:b w:val="false"/>
        </w:rPr>
      </w:r>
    </w:p>
    <w:p>
      <w:pPr>
        <w:pStyle w:val="ListParagraph"/>
        <w:widowControl/>
        <w:suppressAutoHyphens w:val="true"/>
        <w:bidi w:val="0"/>
        <w:spacing w:lineRule="auto" w:line="240" w:before="0" w:after="0"/>
        <w:ind w:left="0" w:right="0" w:firstLine="227"/>
        <w:contextualSpacing/>
        <w:jc w:val="both"/>
        <w:rPr>
          <w:rFonts w:cs="Calibri" w:cstheme="minorHAnsi"/>
          <w:b w:val="false"/>
          <w:b w:val="false"/>
        </w:rPr>
      </w:pPr>
      <w:r>
        <w:rPr>
          <w:rFonts w:cs="Calibri" w:cstheme="minorHAnsi"/>
          <w:b w:val="false"/>
        </w:rPr>
      </w:r>
    </w:p>
    <w:p>
      <w:pPr>
        <w:pStyle w:val="Nivel2"/>
        <w:spacing w:lineRule="auto" w:line="240" w:before="0" w:after="0"/>
        <w:contextualSpacing/>
        <w:jc w:val="right"/>
        <w:rPr>
          <w:rFonts w:ascii="Calibri" w:hAnsi="Calibri"/>
          <w:color w:val="000000"/>
          <w:sz w:val="24"/>
          <w:szCs w:val="24"/>
        </w:rPr>
      </w:pPr>
      <w:r>
        <w:rPr>
          <w:rFonts w:cs="Calibri" w:ascii="Calibri" w:hAnsi="Calibri" w:asciiTheme="minorHAnsi" w:cstheme="minorHAnsi" w:hAnsiTheme="minorHAnsi"/>
          <w:color w:val="000000"/>
          <w:sz w:val="24"/>
          <w:szCs w:val="24"/>
        </w:rPr>
        <w:t>Fortaleza, CE, 08 de dezembro de 2023.</w:t>
      </w:r>
    </w:p>
    <w:p>
      <w:pPr>
        <w:pStyle w:val="Nivel2"/>
        <w:spacing w:lineRule="auto" w:line="240" w:before="0" w:after="0"/>
        <w:contextualSpacing/>
        <w:jc w:val="right"/>
        <w:rPr>
          <w:rFonts w:cs="Calibri" w:cstheme="minorHAnsi"/>
        </w:rPr>
      </w:pPr>
      <w:r>
        <w:rPr>
          <w:rFonts w:cs="Calibri" w:cstheme="minorHAnsi"/>
        </w:rPr>
      </w:r>
    </w:p>
    <w:p>
      <w:pPr>
        <w:pStyle w:val="Nivel2"/>
        <w:spacing w:lineRule="auto" w:line="240" w:before="0" w:after="0"/>
        <w:contextualSpacing/>
        <w:jc w:val="right"/>
        <w:rPr>
          <w:rFonts w:cs="Calibri" w:cstheme="minorHAnsi"/>
        </w:rPr>
      </w:pPr>
      <w:r>
        <w:rPr>
          <w:rFonts w:cs="Calibri" w:cstheme="minorHAnsi"/>
        </w:rPr>
      </w:r>
    </w:p>
    <w:p>
      <w:pPr>
        <w:pStyle w:val="Nivel2"/>
        <w:spacing w:lineRule="auto" w:line="240" w:before="0" w:after="0"/>
        <w:contextualSpacing/>
        <w:rPr>
          <w:rFonts w:ascii="Calibri" w:hAnsi="Calibri"/>
          <w:i/>
          <w:i/>
          <w:iCs/>
          <w:color w:val="000000"/>
          <w:sz w:val="24"/>
          <w:szCs w:val="24"/>
        </w:rPr>
      </w:pPr>
      <w:r>
        <w:rPr>
          <w:rFonts w:ascii="Calibri" w:hAnsi="Calibri"/>
          <w:i/>
          <w:iCs/>
          <w:color w:val="000000"/>
          <w:sz w:val="24"/>
          <w:szCs w:val="24"/>
        </w:rPr>
      </w:r>
    </w:p>
    <w:p>
      <w:pPr>
        <w:pStyle w:val="Normal"/>
        <w:spacing w:lineRule="auto" w:line="240" w:before="0" w:after="0"/>
        <w:ind w:left="357" w:hanging="0"/>
        <w:contextualSpacing/>
        <w:jc w:val="center"/>
        <w:rPr>
          <w:rFonts w:eastAsia="Arial" w:cs="Calibri" w:cstheme="minorHAnsi"/>
        </w:rPr>
      </w:pPr>
      <w:r>
        <w:rPr>
          <w:rFonts w:eastAsia="Arial" w:cs="Calibri" w:cstheme="minorHAnsi"/>
        </w:rPr>
      </w:r>
    </w:p>
    <w:p>
      <w:pPr>
        <w:pStyle w:val="Normal"/>
        <w:spacing w:lineRule="auto" w:line="240" w:before="0" w:after="0"/>
        <w:ind w:left="360" w:hanging="0"/>
        <w:contextualSpacing/>
        <w:jc w:val="center"/>
        <w:rPr>
          <w:rFonts w:ascii="Calibri" w:hAnsi="Calibri"/>
          <w:b w:val="false"/>
          <w:b w:val="false"/>
          <w:bCs w:val="false"/>
          <w:color w:val="000000"/>
          <w:sz w:val="24"/>
          <w:szCs w:val="24"/>
        </w:rPr>
      </w:pPr>
      <w:r>
        <w:rPr>
          <w:rFonts w:eastAsia="Arial" w:cs="Calibri" w:ascii="Calibri" w:hAnsi="Calibri" w:asciiTheme="minorHAnsi" w:cstheme="minorHAnsi" w:hAnsiTheme="minorHAnsi"/>
          <w:b w:val="false"/>
          <w:bCs w:val="false"/>
          <w:color w:val="000000"/>
          <w:sz w:val="24"/>
          <w:szCs w:val="24"/>
        </w:rPr>
        <w:t>JÉSSICA CABRAL FERREIRA</w:t>
      </w:r>
    </w:p>
    <w:p>
      <w:pPr>
        <w:pStyle w:val="Normal"/>
        <w:spacing w:lineRule="auto" w:line="240" w:before="0" w:after="0"/>
        <w:ind w:left="360" w:hanging="0"/>
        <w:contextualSpacing/>
        <w:jc w:val="center"/>
        <w:rPr>
          <w:rFonts w:ascii="Calibri" w:hAnsi="Calibri"/>
          <w:color w:val="000000"/>
          <w:sz w:val="24"/>
          <w:szCs w:val="24"/>
        </w:rPr>
      </w:pPr>
      <w:r>
        <w:rPr>
          <w:rFonts w:eastAsia="Arial" w:cs="Calibri" w:ascii="Calibri" w:hAnsi="Calibri" w:asciiTheme="minorHAnsi" w:cstheme="minorHAnsi" w:hAnsiTheme="minorHAnsi"/>
          <w:color w:val="000000"/>
          <w:sz w:val="24"/>
          <w:szCs w:val="24"/>
        </w:rPr>
        <w:t>Primeiro-Tenente (RM2-S)</w:t>
      </w:r>
    </w:p>
    <w:p>
      <w:pPr>
        <w:pStyle w:val="Normal"/>
        <w:spacing w:lineRule="auto" w:line="240" w:before="0" w:after="0"/>
        <w:contextualSpacing/>
        <w:jc w:val="center"/>
        <w:rPr>
          <w:rFonts w:ascii="Calibri" w:hAnsi="Calibri"/>
          <w:color w:val="000000"/>
          <w:sz w:val="24"/>
          <w:szCs w:val="24"/>
        </w:rPr>
      </w:pPr>
      <w:r>
        <w:rPr>
          <w:rFonts w:eastAsia="Arial" w:cs="Calibri" w:ascii="Calibri" w:hAnsi="Calibri" w:asciiTheme="minorHAnsi" w:cstheme="minorHAnsi" w:hAnsiTheme="minorHAnsi"/>
          <w:color w:val="000000"/>
          <w:sz w:val="24"/>
          <w:szCs w:val="24"/>
        </w:rPr>
        <w:t>Encarregada do Setor de Dispensação de Medicamentos</w:t>
      </w:r>
    </w:p>
    <w:p>
      <w:pPr>
        <w:pStyle w:val="Normal"/>
        <w:spacing w:lineRule="auto" w:line="240" w:before="0" w:after="0"/>
        <w:contextualSpacing/>
        <w:jc w:val="center"/>
        <w:rPr>
          <w:rFonts w:eastAsia="Arial" w:cs="Calibri" w:cstheme="minorHAnsi"/>
        </w:rPr>
      </w:pPr>
      <w:r>
        <w:rPr>
          <w:rFonts w:eastAsia="Arial" w:cs="Calibri" w:cstheme="minorHAnsi"/>
        </w:rPr>
      </w:r>
    </w:p>
    <w:p>
      <w:pPr>
        <w:pStyle w:val="Normal"/>
        <w:spacing w:lineRule="auto" w:line="240" w:before="0" w:after="0"/>
        <w:contextualSpacing/>
        <w:jc w:val="center"/>
        <w:rPr>
          <w:rFonts w:eastAsia="Arial" w:cs="Calibri" w:cstheme="minorHAnsi"/>
        </w:rPr>
      </w:pPr>
      <w:r>
        <w:rPr>
          <w:rFonts w:eastAsia="Arial" w:cs="Calibri" w:cstheme="minorHAnsi"/>
        </w:rPr>
      </w:r>
    </w:p>
    <w:p>
      <w:pPr>
        <w:pStyle w:val="Normal"/>
        <w:spacing w:lineRule="auto" w:line="240" w:before="0" w:after="0"/>
        <w:contextualSpacing/>
        <w:jc w:val="center"/>
        <w:rPr>
          <w:rFonts w:eastAsia="Arial" w:cs="Calibri" w:cstheme="minorHAnsi"/>
        </w:rPr>
      </w:pPr>
      <w:r>
        <w:rPr>
          <w:rFonts w:eastAsia="Arial" w:cs="Calibri" w:cstheme="minorHAnsi"/>
        </w:rPr>
      </w:r>
    </w:p>
    <w:p>
      <w:pPr>
        <w:pStyle w:val="Standard"/>
        <w:widowControl w:val="false"/>
        <w:suppressAutoHyphens w:val="true"/>
        <w:overflowPunct w:val="true"/>
        <w:bidi w:val="0"/>
        <w:spacing w:before="0" w:after="0"/>
        <w:ind w:left="0" w:right="0" w:firstLine="1304"/>
        <w:jc w:val="both"/>
        <w:textAlignment w:val="baseline"/>
        <w:rPr>
          <w:rFonts w:ascii="Calibri" w:hAnsi="Calibri"/>
          <w:b w:val="false"/>
          <w:b w:val="false"/>
          <w:bCs w:val="false"/>
          <w:i w:val="false"/>
          <w:i w:val="false"/>
          <w:iCs w:val="false"/>
          <w:color w:val="000000"/>
          <w:sz w:val="24"/>
          <w:szCs w:val="24"/>
          <w:lang w:val="pt-BR"/>
        </w:rPr>
      </w:pPr>
      <w:r>
        <w:rPr>
          <w:rFonts w:ascii="Calibri" w:hAnsi="Calibri"/>
          <w:b w:val="false"/>
          <w:bCs w:val="false"/>
          <w:i w:val="false"/>
          <w:iCs w:val="false"/>
          <w:color w:val="000000"/>
          <w:sz w:val="24"/>
          <w:szCs w:val="24"/>
          <w:lang w:val="pt-BR"/>
        </w:rPr>
      </w:r>
    </w:p>
    <w:p>
      <w:pPr>
        <w:pStyle w:val="Normal"/>
        <w:widowControl/>
        <w:suppressAutoHyphens w:val="true"/>
        <w:spacing w:lineRule="auto" w:line="240" w:before="0" w:after="0"/>
        <w:ind w:left="0" w:right="0" w:hanging="0"/>
        <w:contextualSpacing/>
        <w:jc w:val="left"/>
        <w:rPr>
          <w:rFonts w:ascii="Calibri" w:hAnsi="Calibri" w:cs="Calibri"/>
          <w:b/>
          <w:b/>
          <w:bCs/>
          <w:color w:val="000000"/>
          <w:sz w:val="24"/>
          <w:szCs w:val="24"/>
        </w:rPr>
      </w:pPr>
      <w:r>
        <w:rPr>
          <w:rFonts w:cs="Calibri" w:ascii="Calibri" w:hAnsi="Calibri"/>
          <w:b/>
          <w:bCs/>
          <w:color w:val="000000"/>
          <w:sz w:val="24"/>
          <w:szCs w:val="24"/>
        </w:rPr>
        <w:t>APROVO:</w:t>
      </w:r>
    </w:p>
    <w:p>
      <w:pPr>
        <w:pStyle w:val="Normal"/>
        <w:widowControl/>
        <w:suppressAutoHyphens w:val="true"/>
        <w:spacing w:lineRule="auto" w:line="240" w:before="0" w:after="0"/>
        <w:ind w:left="0" w:right="0" w:hanging="0"/>
        <w:contextualSpacing/>
        <w:jc w:val="left"/>
        <w:rPr>
          <w:rFonts w:ascii="Calibri" w:hAnsi="Calibri" w:cs="Calibri"/>
          <w:b/>
          <w:b/>
          <w:bCs/>
          <w:color w:val="000000"/>
          <w:sz w:val="24"/>
          <w:szCs w:val="24"/>
        </w:rPr>
      </w:pPr>
      <w:r>
        <w:rPr>
          <w:rFonts w:cs="Calibri" w:ascii="Calibri" w:hAnsi="Calibri"/>
          <w:b/>
          <w:bCs/>
          <w:color w:val="000000"/>
          <w:sz w:val="24"/>
          <w:szCs w:val="24"/>
        </w:rPr>
      </w:r>
    </w:p>
    <w:p>
      <w:pPr>
        <w:pStyle w:val="Normal"/>
        <w:spacing w:lineRule="auto" w:line="240" w:before="0" w:after="0"/>
        <w:contextualSpacing/>
        <w:jc w:val="both"/>
        <w:rPr>
          <w:rFonts w:ascii="Calibri" w:hAnsi="Calibri"/>
          <w:color w:val="000000"/>
          <w:sz w:val="24"/>
          <w:szCs w:val="24"/>
        </w:rPr>
      </w:pPr>
      <w:r>
        <w:rPr>
          <w:rStyle w:val="Fontepargpadro"/>
          <w:rFonts w:eastAsia="Arial" w:cs="Calibri" w:ascii="Calibri" w:hAnsi="Calibri" w:asciiTheme="minorHAnsi" w:cstheme="minorHAnsi" w:hAnsiTheme="minorHAnsi"/>
          <w:color w:val="000000"/>
          <w:sz w:val="24"/>
          <w:szCs w:val="24"/>
        </w:rPr>
        <w:tab/>
        <w:t>Conforme preceitua o art. 14, inciso II, do Decreto n</w:t>
      </w:r>
      <w:r>
        <w:rPr>
          <w:rStyle w:val="Fontepargpadro"/>
          <w:rFonts w:eastAsia="Arial" w:cs="Calibri" w:ascii="Calibri" w:hAnsi="Calibri" w:asciiTheme="minorHAnsi" w:cstheme="minorHAnsi" w:hAnsiTheme="minorHAnsi"/>
          <w:strike/>
          <w:color w:val="000000"/>
          <w:sz w:val="24"/>
          <w:szCs w:val="24"/>
        </w:rPr>
        <w:t>º</w:t>
      </w:r>
      <w:r>
        <w:rPr>
          <w:rStyle w:val="Fontepargpadro"/>
          <w:rFonts w:eastAsia="Arial" w:cs="Calibri" w:ascii="Calibri" w:hAnsi="Calibri" w:asciiTheme="minorHAnsi" w:cstheme="minorHAnsi" w:hAnsiTheme="minorHAnsi"/>
          <w:color w:val="000000"/>
          <w:sz w:val="24"/>
          <w:szCs w:val="24"/>
        </w:rPr>
        <w:t xml:space="preserve"> 10.024/2019, aprovo o presente Termo de Referência, estando presentes os elementos necessários à identificação do objeto e todos os critérios para participação de forma clara e concisa.</w:t>
      </w:r>
    </w:p>
    <w:p>
      <w:pPr>
        <w:pStyle w:val="Normal"/>
        <w:spacing w:lineRule="auto" w:line="240" w:before="0" w:after="0"/>
        <w:contextualSpacing/>
        <w:jc w:val="both"/>
        <w:rPr>
          <w:rStyle w:val="Fontepargpadro"/>
          <w:rFonts w:ascii="Calibri" w:hAnsi="Calibri" w:eastAsia="Arial" w:cs="Calibri" w:asciiTheme="minorHAnsi" w:cstheme="minorHAnsi" w:hAnsiTheme="minorHAnsi"/>
          <w:sz w:val="24"/>
          <w:szCs w:val="24"/>
        </w:rPr>
      </w:pPr>
      <w:r>
        <w:rPr>
          <w:rFonts w:eastAsia="Arial" w:cs="Calibri" w:cstheme="minorHAnsi" w:ascii="Calibri" w:hAnsi="Calibri"/>
          <w:sz w:val="24"/>
          <w:szCs w:val="24"/>
        </w:rPr>
      </w:r>
    </w:p>
    <w:p>
      <w:pPr>
        <w:pStyle w:val="Normal"/>
        <w:spacing w:lineRule="auto" w:line="240" w:before="0" w:after="0"/>
        <w:contextualSpacing/>
        <w:jc w:val="both"/>
        <w:rPr>
          <w:rStyle w:val="Fontepargpadro"/>
          <w:rFonts w:ascii="Calibri" w:hAnsi="Calibri" w:eastAsia="Arial" w:cs="Calibri" w:asciiTheme="minorHAnsi" w:cstheme="minorHAnsi" w:hAnsiTheme="minorHAnsi"/>
          <w:sz w:val="24"/>
          <w:szCs w:val="24"/>
        </w:rPr>
      </w:pPr>
      <w:r>
        <w:rPr>
          <w:rFonts w:eastAsia="Arial" w:cs="Calibri" w:cstheme="minorHAnsi" w:ascii="Calibri" w:hAnsi="Calibri"/>
          <w:sz w:val="24"/>
          <w:szCs w:val="24"/>
        </w:rPr>
      </w:r>
    </w:p>
    <w:p>
      <w:pPr>
        <w:pStyle w:val="Normal"/>
        <w:spacing w:lineRule="auto" w:line="240" w:before="0" w:after="0"/>
        <w:contextualSpacing/>
        <w:jc w:val="both"/>
        <w:rPr>
          <w:rStyle w:val="Fontepargpadro"/>
          <w:rFonts w:ascii="Calibri" w:hAnsi="Calibri" w:eastAsia="Arial" w:cs="Calibri" w:asciiTheme="minorHAnsi" w:cstheme="minorHAnsi" w:hAnsiTheme="minorHAnsi"/>
          <w:sz w:val="24"/>
          <w:szCs w:val="24"/>
        </w:rPr>
      </w:pPr>
      <w:r>
        <w:rPr>
          <w:rFonts w:eastAsia="Arial" w:cs="Calibri" w:cstheme="minorHAnsi" w:ascii="Calibri" w:hAnsi="Calibri"/>
          <w:sz w:val="24"/>
          <w:szCs w:val="24"/>
        </w:rPr>
      </w:r>
    </w:p>
    <w:p>
      <w:pPr>
        <w:pStyle w:val="Contedodatabela"/>
        <w:ind w:left="0" w:right="0" w:hanging="0"/>
        <w:jc w:val="center"/>
        <w:rPr>
          <w:rFonts w:ascii="Calibri" w:hAnsi="Calibri" w:eastAsia="SimSun" w:cs="Tahoma"/>
          <w:b w:val="false"/>
          <w:b w:val="false"/>
          <w:bCs w:val="false"/>
          <w:color w:val="000000"/>
          <w:sz w:val="24"/>
          <w:szCs w:val="24"/>
          <w:lang w:val="pt-BR"/>
        </w:rPr>
      </w:pPr>
      <w:r>
        <w:rPr>
          <w:rFonts w:eastAsia="SimSun" w:cs="Tahoma" w:ascii="Calibri" w:hAnsi="Calibri"/>
          <w:b w:val="false"/>
          <w:bCs w:val="false"/>
          <w:color w:val="000000"/>
          <w:sz w:val="24"/>
          <w:szCs w:val="24"/>
          <w:lang w:val="pt-BR"/>
        </w:rPr>
        <w:t>DANIEL ROCHA</w:t>
      </w:r>
    </w:p>
    <w:p>
      <w:pPr>
        <w:pStyle w:val="Contedodatabela"/>
        <w:ind w:left="0" w:right="0" w:hanging="0"/>
        <w:jc w:val="center"/>
        <w:rPr>
          <w:rFonts w:ascii="Calibri" w:hAnsi="Calibri" w:eastAsia="SimSun" w:cs="Tahoma"/>
          <w:b w:val="false"/>
          <w:b w:val="false"/>
          <w:bCs w:val="false"/>
          <w:color w:val="000000"/>
          <w:sz w:val="24"/>
          <w:szCs w:val="24"/>
          <w:lang w:val="pt-BR"/>
        </w:rPr>
      </w:pPr>
      <w:r>
        <w:rPr>
          <w:rFonts w:eastAsia="SimSun" w:cs="Tahoma" w:ascii="Calibri" w:hAnsi="Calibri"/>
          <w:b w:val="false"/>
          <w:bCs w:val="false"/>
          <w:color w:val="000000"/>
          <w:sz w:val="24"/>
          <w:szCs w:val="24"/>
          <w:lang w:val="pt-BR"/>
        </w:rPr>
        <w:t>Capitão de Fragata</w:t>
      </w:r>
    </w:p>
    <w:p>
      <w:pPr>
        <w:pStyle w:val="Contedodatabela"/>
        <w:widowControl/>
        <w:suppressAutoHyphens w:val="true"/>
        <w:bidi w:val="0"/>
        <w:spacing w:lineRule="auto" w:line="240" w:before="0" w:after="0"/>
        <w:ind w:left="0" w:right="0" w:hanging="0"/>
        <w:jc w:val="center"/>
        <w:rPr>
          <w:rFonts w:ascii="Calibri" w:hAnsi="Calibri" w:eastAsia="SimSun" w:cs="Tahoma"/>
          <w:b w:val="false"/>
          <w:b w:val="false"/>
          <w:bCs w:val="false"/>
          <w:i w:val="false"/>
          <w:i w:val="false"/>
          <w:iCs w:val="false"/>
          <w:color w:val="000000"/>
          <w:sz w:val="21"/>
          <w:szCs w:val="21"/>
          <w:lang w:val="pt-BR"/>
        </w:rPr>
      </w:pPr>
      <w:r>
        <w:rPr>
          <w:rStyle w:val="Fontepargpadro"/>
          <w:rFonts w:eastAsia="SimSun" w:cs="Tahoma" w:ascii="Calibri" w:hAnsi="Calibri" w:asciiTheme="minorHAnsi" w:hAnsiTheme="minorHAnsi"/>
          <w:b w:val="false"/>
          <w:bCs w:val="false"/>
          <w:i w:val="false"/>
          <w:iCs w:val="false"/>
          <w:color w:val="000000"/>
          <w:sz w:val="24"/>
          <w:szCs w:val="24"/>
          <w:lang w:val="pt-BR"/>
        </w:rPr>
        <w:t>Ordenador de Despesas</w:t>
      </w:r>
    </w:p>
    <w:sectPr>
      <w:headerReference w:type="default" r:id="rId3"/>
      <w:footerReference w:type="default" r:id="rId4"/>
      <w:type w:val="nextPage"/>
      <w:pgSz w:w="11906" w:h="16838"/>
      <w:pgMar w:left="1701" w:right="1134" w:gutter="0" w:header="709" w:top="1418" w:footer="709" w:bottom="1418"/>
      <w:pgNumType w:fmt="decimal"/>
      <w:formProt w:val="false"/>
      <w:textDirection w:val="lrTb"/>
      <w:docGrid w:type="default" w:linePitch="36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Ecofont_Spranq_eco_Sans">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jc w:val="center"/>
      <w:rPr>
        <w:rFonts w:ascii="Calibri" w:hAnsi="Calibri"/>
        <w:sz w:val="24"/>
        <w:szCs w:val="24"/>
      </w:rPr>
    </w:pPr>
    <w:r>
      <w:rPr>
        <w:rFonts w:cs="Arial" w:ascii="Calibri" w:hAnsi="Calibri"/>
        <w:sz w:val="24"/>
        <w:szCs w:val="24"/>
      </w:rPr>
      <w:t>-</w:t>
    </w:r>
    <w:r>
      <w:rPr>
        <w:rFonts w:cs="Arial" w:ascii="Calibri" w:hAnsi="Calibri"/>
        <w:sz w:val="24"/>
        <w:szCs w:val="24"/>
      </w:rPr>
      <w:fldChar w:fldCharType="begin"/>
    </w:r>
    <w:r>
      <w:rPr>
        <w:sz w:val="24"/>
        <w:szCs w:val="24"/>
        <w:rFonts w:cs="Arial" w:ascii="Calibri" w:hAnsi="Calibri"/>
      </w:rPr>
      <w:instrText> PAGE </w:instrText>
    </w:r>
    <w:r>
      <w:rPr>
        <w:sz w:val="24"/>
        <w:szCs w:val="24"/>
        <w:rFonts w:cs="Arial" w:ascii="Calibri" w:hAnsi="Calibri"/>
      </w:rPr>
      <w:fldChar w:fldCharType="separate"/>
    </w:r>
    <w:r>
      <w:rPr>
        <w:sz w:val="24"/>
        <w:szCs w:val="24"/>
        <w:rFonts w:cs="Arial" w:ascii="Calibri" w:hAnsi="Calibri"/>
      </w:rPr>
      <w:t>18</w:t>
    </w:r>
    <w:r>
      <w:rPr>
        <w:sz w:val="24"/>
        <w:szCs w:val="24"/>
        <w:rFonts w:cs="Arial" w:ascii="Calibri" w:hAnsi="Calibri"/>
      </w:rPr>
      <w:fldChar w:fldCharType="end"/>
    </w:r>
    <w:r>
      <w:rPr>
        <w:rFonts w:cs="Arial" w:ascii="Calibri" w:hAnsi="Calibri"/>
        <w:sz w:val="24"/>
        <w:szCs w:val="24"/>
      </w:rPr>
      <w:t>-</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716" w:hanging="432"/>
      </w:pPr>
      <w:rPr>
        <w:dstrike w:val="false"/>
        <w:strike w:val="false"/>
        <w:sz w:val="24"/>
        <w:i w:val="false"/>
        <w:b/>
        <w:bCs/>
        <w:rFonts w:ascii="Calibri" w:hAnsi="Calibri"/>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center"/>
      <w:pPr>
        <w:tabs>
          <w:tab w:val="num" w:pos="0"/>
        </w:tabs>
        <w:ind w:left="720" w:hanging="360"/>
      </w:pPr>
    </w:lvl>
    <w:lvl w:ilvl="1">
      <w:start w:val="1"/>
      <w:numFmt w:val="decimal"/>
      <w:lvlText w:val="%2"/>
      <w:lvlJc w:val="center"/>
      <w:pPr>
        <w:tabs>
          <w:tab w:val="num" w:pos="0"/>
        </w:tabs>
        <w:ind w:left="1080" w:hanging="360"/>
      </w:pPr>
    </w:lvl>
    <w:lvl w:ilvl="2">
      <w:start w:val="1"/>
      <w:numFmt w:val="decimal"/>
      <w:lvlText w:val="%3"/>
      <w:lvlJc w:val="center"/>
      <w:pPr>
        <w:tabs>
          <w:tab w:val="num" w:pos="0"/>
        </w:tabs>
        <w:ind w:left="1440" w:hanging="360"/>
      </w:pPr>
    </w:lvl>
    <w:lvl w:ilvl="3">
      <w:start w:val="1"/>
      <w:numFmt w:val="decimal"/>
      <w:lvlText w:val="%4"/>
      <w:lvlJc w:val="center"/>
      <w:pPr>
        <w:tabs>
          <w:tab w:val="num" w:pos="0"/>
        </w:tabs>
        <w:ind w:left="1800" w:hanging="360"/>
      </w:pPr>
    </w:lvl>
    <w:lvl w:ilvl="4">
      <w:start w:val="1"/>
      <w:numFmt w:val="decimal"/>
      <w:lvlText w:val="%5"/>
      <w:lvlJc w:val="center"/>
      <w:pPr>
        <w:tabs>
          <w:tab w:val="num" w:pos="0"/>
        </w:tabs>
        <w:ind w:left="2160" w:hanging="360"/>
      </w:pPr>
    </w:lvl>
    <w:lvl w:ilvl="5">
      <w:start w:val="1"/>
      <w:numFmt w:val="decimal"/>
      <w:lvlText w:val="%6"/>
      <w:lvlJc w:val="center"/>
      <w:pPr>
        <w:tabs>
          <w:tab w:val="num" w:pos="0"/>
        </w:tabs>
        <w:ind w:left="2520" w:hanging="360"/>
      </w:pPr>
    </w:lvl>
    <w:lvl w:ilvl="6">
      <w:start w:val="1"/>
      <w:numFmt w:val="decimal"/>
      <w:lvlText w:val="%7"/>
      <w:lvlJc w:val="center"/>
      <w:pPr>
        <w:tabs>
          <w:tab w:val="num" w:pos="0"/>
        </w:tabs>
        <w:ind w:left="2880" w:hanging="360"/>
      </w:pPr>
    </w:lvl>
    <w:lvl w:ilvl="7">
      <w:start w:val="1"/>
      <w:numFmt w:val="decimal"/>
      <w:lvlText w:val="%8"/>
      <w:lvlJc w:val="center"/>
      <w:pPr>
        <w:tabs>
          <w:tab w:val="num" w:pos="0"/>
        </w:tabs>
        <w:ind w:left="3240" w:hanging="360"/>
      </w:pPr>
    </w:lvl>
    <w:lvl w:ilvl="8">
      <w:start w:val="1"/>
      <w:numFmt w:val="decimal"/>
      <w:lvlText w:val="%9"/>
      <w:lvlJc w:val="center"/>
      <w:pPr>
        <w:tabs>
          <w:tab w:val="num" w:pos="0"/>
        </w:tabs>
        <w:ind w:left="3600" w:hanging="360"/>
      </w:pPr>
    </w:lvl>
  </w:abstractNum>
  <w:abstractNum w:abstractNumId="3">
    <w:lvl w:ilvl="0">
      <w:start w:val="3"/>
      <w:numFmt w:val="decimal"/>
      <w:lvlText w:val="%1"/>
      <w:lvlJc w:val="left"/>
      <w:pPr>
        <w:tabs>
          <w:tab w:val="num" w:pos="0"/>
        </w:tabs>
        <w:ind w:left="360" w:hanging="360"/>
      </w:pPr>
    </w:lvl>
    <w:lvl w:ilvl="1">
      <w:start w:val="1"/>
      <w:numFmt w:val="decimal"/>
      <w:lvlText w:val="%1.%2"/>
      <w:lvlJc w:val="left"/>
      <w:pPr>
        <w:tabs>
          <w:tab w:val="num" w:pos="0"/>
        </w:tabs>
        <w:ind w:left="644" w:hanging="360"/>
      </w:pPr>
      <w:rPr>
        <w:sz w:val="24"/>
        <w:b w:val="false"/>
        <w:bCs w:val="false"/>
        <w:rFonts w:ascii="Calibri" w:hAnsi="Calibri"/>
      </w:r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72" w:hanging="72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500" w:hanging="1080"/>
      </w:pPr>
    </w:lvl>
    <w:lvl w:ilvl="6">
      <w:start w:val="1"/>
      <w:numFmt w:val="decimal"/>
      <w:lvlText w:val="%1.%2.%3.%4.%5.%6.%7"/>
      <w:lvlJc w:val="left"/>
      <w:pPr>
        <w:tabs>
          <w:tab w:val="num" w:pos="0"/>
        </w:tabs>
        <w:ind w:left="3144" w:hanging="1440"/>
      </w:pPr>
    </w:lvl>
    <w:lvl w:ilvl="7">
      <w:start w:val="1"/>
      <w:numFmt w:val="decimal"/>
      <w:lvlText w:val="%1.%2.%3.%4.%5.%6.%7.%8"/>
      <w:lvlJc w:val="left"/>
      <w:pPr>
        <w:tabs>
          <w:tab w:val="num" w:pos="0"/>
        </w:tabs>
        <w:ind w:left="3428" w:hanging="1440"/>
      </w:pPr>
    </w:lvl>
    <w:lvl w:ilvl="8">
      <w:start w:val="1"/>
      <w:numFmt w:val="decimal"/>
      <w:lvlText w:val="%1.%2.%3.%4.%5.%6.%7.%8.%9"/>
      <w:lvlJc w:val="left"/>
      <w:pPr>
        <w:tabs>
          <w:tab w:val="num" w:pos="0"/>
        </w:tabs>
        <w:ind w:left="4072" w:hanging="180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6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ＭＳ ゴシック" w:cs="Times New Roman"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rsid w:val="00bf1a7f"/>
    <w:rPr>
      <w:color w:val="000080"/>
      <w:u w:val="single"/>
    </w:rPr>
  </w:style>
  <w:style w:type="character" w:styleId="CitaoChar" w:customStyle="1">
    <w:name w:val="Citação Char"/>
    <w:link w:val="Citao"/>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link w:val="Cabealho"/>
    <w:qFormat/>
    <w:rsid w:val="00a3644b"/>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link w:val="Ttulo1"/>
    <w:qFormat/>
    <w:rsid w:val="00de7070"/>
    <w:rPr>
      <w:rFonts w:ascii="Cambria" w:hAnsi="Cambria" w:eastAsia="ＭＳ ゴシック" w:cs="Times New Roman"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ＭＳ ゴシック" w:cs="Arial" w:eastAsiaTheme="majorEastAsia"/>
      <w:b/>
      <w:color w:val="000000"/>
      <w:sz w:val="32"/>
      <w:szCs w:val="32"/>
    </w:rPr>
  </w:style>
  <w:style w:type="character" w:styleId="Annotationreference">
    <w:name w:val="annotation reference"/>
    <w:basedOn w:val="DefaultParagraphFont"/>
    <w:unhideWhenUsed/>
    <w:qFormat/>
    <w:rsid w:val="00453b1d"/>
    <w:rPr>
      <w:sz w:val="18"/>
      <w:szCs w:val="18"/>
    </w:rPr>
  </w:style>
  <w:style w:type="character" w:styleId="TextodecomentrioChar" w:customStyle="1">
    <w:name w:val="Texto de comentário Char"/>
    <w:basedOn w:val="DefaultParagraphFont"/>
    <w:link w:val="Textodecomentrio"/>
    <w:qFormat/>
    <w:rsid w:val="00453b1d"/>
    <w:rPr>
      <w:rFonts w:ascii="Arial" w:hAnsi="Arial" w:cs="Tahoma"/>
      <w:sz w:val="24"/>
      <w:szCs w:val="24"/>
    </w:rPr>
  </w:style>
  <w:style w:type="character" w:styleId="AssuntodocomentrioChar" w:customStyle="1">
    <w:name w:val="Assunto do comentário Char"/>
    <w:basedOn w:val="TextodecomentrioChar"/>
    <w:link w:val="Assuntodocomentrio"/>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ＭＳ ゴシック"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ＭＳ ゴシック" w:cs="Times New Roman"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customStyle="1">
    <w:name w:val="Ênfase forte"/>
    <w:qFormat/>
    <w:rPr>
      <w:b/>
      <w:bCs/>
    </w:rPr>
  </w:style>
  <w:style w:type="character" w:styleId="Smbolosdenumerao" w:customStyle="1">
    <w:name w:val="Símbolos de numeração"/>
    <w:qFormat/>
    <w:rPr/>
  </w:style>
  <w:style w:type="character" w:styleId="Marcas" w:customStyle="1">
    <w:name w:val="Marcas"/>
    <w:qFormat/>
    <w:rPr>
      <w:rFonts w:ascii="OpenSymbol" w:hAnsi="OpenSymbol" w:eastAsia="OpenSymbol" w:cs="OpenSymbol"/>
    </w:rPr>
  </w:style>
  <w:style w:type="character" w:styleId="WWCharLFO216LVL1" w:customStyle="1">
    <w:name w:val="WW_CharLFO216LVL1"/>
    <w:qFormat/>
    <w:rPr>
      <w:b/>
      <w:bCs/>
      <w:color w:val="auto"/>
    </w:rPr>
  </w:style>
  <w:style w:type="character" w:styleId="WWCharLFO216LVL2" w:customStyle="1">
    <w:name w:val="WW_CharLFO216LVL2"/>
    <w:qFormat/>
    <w:rPr>
      <w:rFonts w:ascii="Arial" w:hAnsi="Arial" w:cs="Arial"/>
      <w:b/>
      <w:bCs/>
      <w:color w:val="auto"/>
      <w:sz w:val="20"/>
      <w:szCs w:val="20"/>
    </w:rPr>
  </w:style>
  <w:style w:type="character" w:styleId="WWCharLFO216LVL3" w:customStyle="1">
    <w:name w:val="WW_CharLFO216LVL3"/>
    <w:qFormat/>
    <w:rPr>
      <w:b/>
      <w:bCs/>
      <w:color w:val="auto"/>
    </w:rPr>
  </w:style>
  <w:style w:type="character" w:styleId="WWCharLFO216LVL4" w:customStyle="1">
    <w:name w:val="WW_CharLFO216LVL4"/>
    <w:qFormat/>
    <w:rPr>
      <w:b/>
      <w:bCs/>
    </w:rPr>
  </w:style>
  <w:style w:type="character" w:styleId="Linkdainternetvisitado" w:customStyle="1">
    <w:name w:val="Link da internet visitado"/>
    <w:basedOn w:val="DefaultParagraphFont"/>
    <w:rPr>
      <w:color w:val="800080"/>
      <w:u w:val="single"/>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Lohit Devanagari"/>
    </w:rPr>
  </w:style>
  <w:style w:type="paragraph" w:styleId="Ttulododocumento">
    <w:name w:val="Title"/>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aption">
    <w:name w:val="caption"/>
    <w:basedOn w:val="Normal"/>
    <w:qFormat/>
    <w:pPr>
      <w:suppressLineNumbers/>
      <w:spacing w:before="120" w:after="120"/>
    </w:pPr>
    <w:rPr>
      <w:rFonts w:cs="Lohit Devanagari"/>
      <w:i/>
      <w:iCs/>
      <w:sz w:val="24"/>
    </w:rPr>
  </w:style>
  <w:style w:type="paragraph" w:styleId="ListParagraph">
    <w:name w:val="List Paragraph"/>
    <w:basedOn w:val="Normal"/>
    <w:qFormat/>
    <w:pPr>
      <w:suppressAutoHyphens w:val="true"/>
      <w:ind w:left="720" w:hanging="0"/>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rPr/>
  </w:style>
  <w:style w:type="paragraph" w:styleId="Cabealho">
    <w:name w:val="Header"/>
    <w:basedOn w:val="Normal"/>
    <w:link w:val="CabealhoChar"/>
    <w:unhideWhenUsed/>
    <w:rsid w:val="00a3644b"/>
    <w:pPr>
      <w:tabs>
        <w:tab w:val="clear" w:pos="708"/>
        <w:tab w:val="center" w:pos="4252" w:leader="none"/>
        <w:tab w:val="right" w:pos="8504" w:leader="none"/>
      </w:tabs>
    </w:pPr>
    <w:rPr/>
  </w:style>
  <w:style w:type="paragraph" w:styleId="Rodap">
    <w:name w:val="Footer"/>
    <w:basedOn w:val="Normal"/>
    <w:link w:val="RodapChar"/>
    <w:uiPriority w:val="99"/>
    <w:unhideWhenUsed/>
    <w:rsid w:val="00a3644b"/>
    <w:pPr>
      <w:tabs>
        <w:tab w:val="clear" w:pos="708"/>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outlineLvl w:val="9"/>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708"/>
        <w:tab w:val="left" w:pos="567" w:leader="none"/>
      </w:tabs>
      <w:jc w:val="both"/>
      <w:outlineLvl w:val="9"/>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708"/>
        <w:tab w:val="left" w:pos="567" w:leader="none"/>
      </w:tabs>
      <w:jc w:val="both"/>
      <w:outlineLvl w:val="9"/>
    </w:pPr>
    <w:rPr>
      <w:rFonts w:ascii="Ecofont_Spranq_eco_Sans" w:hAnsi="Ecofont_Spranq_eco_Sans" w:cs="Times New Roman"/>
      <w:b/>
      <w:bCs/>
      <w:color w:val="auto"/>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qFormat/>
    <w:rsid w:val="00210b85"/>
    <w:pPr>
      <w:tabs>
        <w:tab w:val="clear" w:pos="708"/>
        <w:tab w:val="left" w:pos="360" w:leader="none"/>
      </w:tabs>
      <w:ind w:left="644" w:hanging="432"/>
    </w:pPr>
    <w:rPr>
      <w:rFonts w:cs="Arial"/>
      <w:b/>
    </w:rPr>
  </w:style>
  <w:style w:type="paragraph" w:styleId="Nivel3" w:customStyle="1">
    <w:name w:val="Nivel 3"/>
    <w:basedOn w:val="Nivel2"/>
    <w:qFormat/>
    <w:rsid w:val="00210b85"/>
    <w:pPr>
      <w:tabs>
        <w:tab w:val="clear" w:pos="708"/>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auto"/>
    </w:rPr>
  </w:style>
  <w:style w:type="paragraph" w:styleId="Nivel5" w:customStyle="1">
    <w:name w:val="Nivel 5"/>
    <w:basedOn w:val="Nivel4"/>
    <w:qFormat/>
    <w:rsid w:val="00210b85"/>
    <w:pPr>
      <w:ind w:left="3485" w:hanging="0"/>
    </w:pPr>
    <w:rPr/>
  </w:style>
  <w:style w:type="paragraph" w:styleId="Citao1" w:customStyle="1">
    <w:name w:val="Citação1"/>
    <w:basedOn w:val="Normal"/>
    <w:next w:val="Normal"/>
    <w:link w:val="QuoteChar"/>
    <w:qFormat/>
    <w:rsid w:val="0039126b"/>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cs="Ecofont_Spranq_eco_Sans"/>
      <w:i/>
      <w:iCs/>
      <w:color w:val="000000"/>
      <w:sz w:val="24"/>
      <w:shd w:fill="FFFFCC" w:val="clear"/>
      <w:lang w:eastAsia="en-US"/>
    </w:rPr>
  </w:style>
  <w:style w:type="paragraph" w:styleId="GradeColoridanfase110" w:customStyle="1">
    <w:name w:val="Grade Colorida - Ênfase 110"/>
    <w:basedOn w:val="Normal"/>
    <w:next w:val="Normal"/>
    <w:qFormat/>
    <w:rsid w:val="00c63cfe"/>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i/>
      <w:color w:val="000000"/>
      <w:sz w:val="24"/>
      <w:lang w:eastAsia="en-US"/>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2"/>
      <w:sz w:val="20"/>
      <w:szCs w:val="24"/>
      <w:lang w:val="pt-BR" w:eastAsia="zh-CN" w:bidi="hi-IN"/>
    </w:rPr>
  </w:style>
  <w:style w:type="paragraph" w:styleId="Contedodatabela" w:customStyle="1">
    <w:name w:val="Conteúdo da tabela"/>
    <w:basedOn w:val="Standard"/>
    <w:qFormat/>
    <w:pPr>
      <w:suppressLineNumbers/>
    </w:pPr>
    <w:rPr/>
  </w:style>
  <w:style w:type="paragraph" w:styleId="Ttulodetabela" w:customStyle="1">
    <w:name w:val="Título de tabela"/>
    <w:basedOn w:val="Contedodatabela"/>
    <w:qFormat/>
    <w:pPr>
      <w:jc w:val="center"/>
    </w:pPr>
    <w:rPr>
      <w:b/>
      <w:bCs/>
    </w:rPr>
  </w:style>
  <w:style w:type="paragraph" w:styleId="Nvel1SemNum" w:customStyle="1">
    <w:name w:val="Nível 1-Sem Num"/>
    <w:basedOn w:val="Nivel01"/>
    <w:qFormat/>
    <w:rsid w:val="00c26bb0"/>
    <w:pPr>
      <w:suppressAutoHyphens w:val="true"/>
      <w:ind w:left="357" w:hanging="0"/>
      <w:textAlignment w:val="baseline"/>
      <w:outlineLvl w:val="1"/>
    </w:pPr>
    <w:rPr>
      <w:rFonts w:ascii="Arial" w:hAnsi="Arial" w:eastAsia="Arial" w:cs="Arial"/>
      <w:color w:val="FF0000"/>
    </w:rPr>
  </w:style>
  <w:style w:type="paragraph" w:styleId="Textbody" w:customStyle="1">
    <w:name w:val="Text body"/>
    <w:basedOn w:val="Standard"/>
    <w:qFormat/>
    <w:rsid w:val="008e2103"/>
    <w:pPr>
      <w:overflowPunct w:val="false"/>
      <w:spacing w:lineRule="auto" w:line="276" w:before="0" w:after="140"/>
      <w:textAlignment w:val="baseline"/>
    </w:pPr>
    <w:rPr>
      <w:rFonts w:ascii="Arial" w:hAnsi="Arial" w:eastAsia="Times New Roman" w:cs="Tahoma"/>
      <w:kern w:val="0"/>
      <w:lang w:eastAsia="pt-BR" w:bidi="ar-SA"/>
    </w:rPr>
  </w:style>
  <w:style w:type="paragraph" w:styleId="Nvel2Red" w:customStyle="1">
    <w:name w:val="Nível 2 -Red"/>
    <w:basedOn w:val="Nivel2"/>
    <w:qFormat/>
    <w:rsid w:val="006e365b"/>
    <w:pPr>
      <w:suppressAutoHyphens w:val="true"/>
      <w:textAlignment w:val="baseline"/>
    </w:pPr>
    <w:rPr>
      <w:rFonts w:ascii="Arial" w:hAnsi="Arial" w:eastAsia="Arial" w:cs="Arial"/>
      <w:i/>
      <w:iCs/>
      <w:color w:val="FF0000"/>
    </w:rPr>
  </w:style>
  <w:style w:type="paragraph" w:styleId="A81remissao" w:customStyle="1">
    <w:name w:val="a8-1remissao"/>
    <w:basedOn w:val="Normal"/>
    <w:qFormat/>
    <w:rsid w:val="00e403c5"/>
    <w:pPr>
      <w:spacing w:beforeAutospacing="1" w:afterAutospacing="1"/>
    </w:pPr>
    <w:rPr>
      <w:rFonts w:ascii="Times New Roman" w:hAnsi="Times New Roman" w:cs="Times New Roman"/>
      <w:sz w:val="24"/>
    </w:rPr>
  </w:style>
  <w:style w:type="paragraph" w:styleId="A51textoacordo" w:customStyle="1">
    <w:name w:val="a5-1textoacordo"/>
    <w:basedOn w:val="Normal"/>
    <w:qFormat/>
    <w:rsid w:val="00e403c5"/>
    <w:pPr>
      <w:spacing w:beforeAutospacing="1" w:afterAutospacing="1"/>
    </w:pPr>
    <w:rPr>
      <w:rFonts w:ascii="Times New Roman" w:hAnsi="Times New Roman" w:cs="Times New Roman"/>
      <w:sz w:val="24"/>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gov.br/empresas-e-negocios/pt-br/empreendedor"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8" ma:contentTypeDescription="Crie um novo documento." ma:contentTypeScope="" ma:versionID="c6adb248b52d453afec582584ced347e">
  <xsd:schema xmlns:xsd="http://www.w3.org/2001/XMLSchema" xmlns:xs="http://www.w3.org/2001/XMLSchema" xmlns:p="http://schemas.microsoft.com/office/2006/metadata/properties" xmlns:ns2="52c93ea8-e2de-466c-b401-d7fabeb9490e" targetNamespace="http://schemas.microsoft.com/office/2006/metadata/properties" ma:root="true" ma:fieldsID="ab6753da97a2bc317a9adb518871c3d7"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9B84CC-2264-4253-A596-5C5B8CD98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Application>LibreOffice/7.2.7.2$Windows_X86_64 LibreOffice_project/8d71d29d553c0f7dcbfa38fbfda25ee34cce99a2</Application>
  <AppVersion>15.0000</AppVersion>
  <Pages>13</Pages>
  <Words>6432</Words>
  <Characters>36502</Characters>
  <CharactersWithSpaces>41853</CharactersWithSpaces>
  <Paragraphs>1085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2021-04-06T18:39:00Z</dcterms:created>
  <dc:creator>Adriano</dc:creator>
  <dc:description/>
  <dc:language>pt-BR</dc:language>
  <cp:lastModifiedBy/>
  <cp:lastPrinted>2023-12-11T10:25:24Z</cp:lastPrinted>
  <dcterms:modified xsi:type="dcterms:W3CDTF">2023-12-11T10:42:53Z</dcterms:modified>
  <cp:revision>140</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